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CEE" w:rsidRPr="00A60CEE" w:rsidRDefault="00A60CEE" w:rsidP="00E13FB9">
      <w:pPr>
        <w:shd w:val="clear" w:color="auto" w:fill="FFFFFF"/>
        <w:spacing w:before="100" w:beforeAutospacing="1" w:after="100" w:afterAutospacing="1" w:line="240" w:lineRule="atLeast"/>
        <w:jc w:val="both"/>
        <w:outlineLvl w:val="0"/>
        <w:rPr>
          <w:rFonts w:ascii="Arial" w:eastAsia="Times New Roman" w:hAnsi="Arial" w:cs="Arial"/>
          <w:b/>
          <w:bCs/>
          <w:color w:val="003399"/>
          <w:kern w:val="36"/>
          <w:sz w:val="26"/>
          <w:szCs w:val="26"/>
        </w:rPr>
      </w:pPr>
      <w:r w:rsidRPr="00A60CEE">
        <w:rPr>
          <w:rFonts w:ascii="Arial" w:eastAsia="Times New Roman" w:hAnsi="Arial" w:cs="Arial"/>
          <w:b/>
          <w:bCs/>
          <w:color w:val="003399"/>
          <w:kern w:val="36"/>
          <w:sz w:val="26"/>
          <w:szCs w:val="26"/>
        </w:rPr>
        <w:t>Effects of Radiation on the Human Body</w:t>
      </w:r>
    </w:p>
    <w:p w:rsidR="00A60CEE" w:rsidRPr="00A60CEE" w:rsidRDefault="00A60CEE" w:rsidP="00E13FB9">
      <w:pPr>
        <w:shd w:val="clear" w:color="auto" w:fill="FFFFFF"/>
        <w:spacing w:after="0" w:line="240" w:lineRule="atLeast"/>
        <w:jc w:val="both"/>
        <w:rPr>
          <w:rFonts w:ascii="Verdana" w:eastAsia="Times New Roman" w:hAnsi="Verdana" w:cs="Times New Roman"/>
          <w:sz w:val="18"/>
          <w:szCs w:val="18"/>
        </w:rPr>
      </w:pPr>
      <w:r>
        <w:rPr>
          <w:rFonts w:ascii="Verdana" w:eastAsia="Times New Roman" w:hAnsi="Verdana" w:cs="Times New Roman"/>
          <w:noProof/>
          <w:sz w:val="18"/>
          <w:szCs w:val="18"/>
        </w:rPr>
        <w:drawing>
          <wp:inline distT="0" distB="0" distL="0" distR="0">
            <wp:extent cx="1428750" cy="2857500"/>
            <wp:effectExtent l="19050" t="0" r="0" b="0"/>
            <wp:docPr id="1" name="Picture 1" descr="Radiation effects on the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ation effects on the body"/>
                    <pic:cNvPicPr>
                      <a:picLocks noChangeAspect="1" noChangeArrowheads="1"/>
                    </pic:cNvPicPr>
                  </pic:nvPicPr>
                  <pic:blipFill>
                    <a:blip r:embed="rId7"/>
                    <a:srcRect/>
                    <a:stretch>
                      <a:fillRect/>
                    </a:stretch>
                  </pic:blipFill>
                  <pic:spPr bwMode="auto">
                    <a:xfrm>
                      <a:off x="0" y="0"/>
                      <a:ext cx="1428750" cy="2857500"/>
                    </a:xfrm>
                    <a:prstGeom prst="rect">
                      <a:avLst/>
                    </a:prstGeom>
                    <a:noFill/>
                    <a:ln w="9525">
                      <a:noFill/>
                      <a:miter lim="800000"/>
                      <a:headEnd/>
                      <a:tailEnd/>
                    </a:ln>
                  </pic:spPr>
                </pic:pic>
              </a:graphicData>
            </a:graphic>
          </wp:inline>
        </w:drawing>
      </w:r>
    </w:p>
    <w:p w:rsidR="00A60CEE" w:rsidRPr="00A60CEE" w:rsidRDefault="00A60CEE" w:rsidP="00E13FB9">
      <w:pPr>
        <w:shd w:val="clear" w:color="auto" w:fill="FFFFFF"/>
        <w:spacing w:before="100" w:beforeAutospacing="1" w:after="100" w:afterAutospacing="1" w:line="195" w:lineRule="atLeast"/>
        <w:jc w:val="both"/>
        <w:rPr>
          <w:rFonts w:ascii="Verdana" w:eastAsia="Times New Roman" w:hAnsi="Verdana" w:cs="Times New Roman"/>
          <w:color w:val="000000"/>
          <w:sz w:val="15"/>
          <w:szCs w:val="15"/>
        </w:rPr>
      </w:pPr>
      <w:r w:rsidRPr="00A60CEE">
        <w:rPr>
          <w:rFonts w:ascii="Verdana" w:eastAsia="Times New Roman" w:hAnsi="Verdana" w:cs="Times New Roman"/>
          <w:color w:val="000000"/>
          <w:sz w:val="15"/>
          <w:szCs w:val="15"/>
        </w:rPr>
        <w:t>Click on a number to learn about the effects of radiation on the body</w:t>
      </w:r>
    </w:p>
    <w:p w:rsidR="00A60CEE" w:rsidRPr="00A60CEE" w:rsidRDefault="00A60CEE" w:rsidP="00E13FB9">
      <w:pPr>
        <w:shd w:val="clear" w:color="auto" w:fill="FFFFFF"/>
        <w:spacing w:before="100" w:beforeAutospacing="1" w:after="100" w:afterAutospacing="1" w:line="240" w:lineRule="atLeast"/>
        <w:jc w:val="both"/>
        <w:outlineLvl w:val="3"/>
        <w:rPr>
          <w:rFonts w:ascii="Arial" w:eastAsia="Times New Roman" w:hAnsi="Arial" w:cs="Arial"/>
          <w:b/>
          <w:bCs/>
          <w:color w:val="003399"/>
          <w:sz w:val="18"/>
          <w:szCs w:val="18"/>
        </w:rPr>
      </w:pPr>
      <w:bookmarkStart w:id="0" w:name="Hair"/>
      <w:bookmarkEnd w:id="0"/>
      <w:r w:rsidRPr="00A60CEE">
        <w:rPr>
          <w:rFonts w:ascii="Arial" w:eastAsia="Times New Roman" w:hAnsi="Arial" w:cs="Arial"/>
          <w:b/>
          <w:bCs/>
          <w:color w:val="003399"/>
          <w:sz w:val="18"/>
          <w:szCs w:val="18"/>
        </w:rPr>
        <w:t>(1) Hair</w:t>
      </w:r>
    </w:p>
    <w:p w:rsidR="00A60CEE" w:rsidRPr="00A60CEE" w:rsidRDefault="00A60CEE" w:rsidP="00E13FB9">
      <w:pPr>
        <w:shd w:val="clear" w:color="auto" w:fill="FFFFFF"/>
        <w:spacing w:before="100" w:beforeAutospacing="1" w:after="100" w:afterAutospacing="1" w:line="195" w:lineRule="atLeast"/>
        <w:jc w:val="both"/>
        <w:rPr>
          <w:rFonts w:ascii="Verdana" w:eastAsia="Times New Roman" w:hAnsi="Verdana" w:cs="Times New Roman"/>
          <w:color w:val="000000"/>
          <w:sz w:val="15"/>
          <w:szCs w:val="15"/>
        </w:rPr>
      </w:pPr>
      <w:r w:rsidRPr="00A60CEE">
        <w:rPr>
          <w:rFonts w:ascii="Verdana" w:eastAsia="Times New Roman" w:hAnsi="Verdana" w:cs="Times New Roman"/>
          <w:color w:val="000000"/>
          <w:sz w:val="15"/>
          <w:szCs w:val="15"/>
        </w:rPr>
        <w:t>The losing of hair quickly and in clumps occurs with radiation exposure at 200 rems or higher.</w:t>
      </w:r>
    </w:p>
    <w:p w:rsidR="00A60CEE" w:rsidRPr="00A60CEE" w:rsidRDefault="00A60CEE" w:rsidP="00E13FB9">
      <w:pPr>
        <w:shd w:val="clear" w:color="auto" w:fill="FFFFFF"/>
        <w:spacing w:before="100" w:beforeAutospacing="1" w:after="100" w:afterAutospacing="1" w:line="240" w:lineRule="atLeast"/>
        <w:jc w:val="both"/>
        <w:outlineLvl w:val="3"/>
        <w:rPr>
          <w:rFonts w:ascii="Arial" w:eastAsia="Times New Roman" w:hAnsi="Arial" w:cs="Arial"/>
          <w:b/>
          <w:bCs/>
          <w:color w:val="003399"/>
          <w:sz w:val="18"/>
          <w:szCs w:val="18"/>
        </w:rPr>
      </w:pPr>
      <w:bookmarkStart w:id="1" w:name="Brain"/>
      <w:bookmarkEnd w:id="1"/>
      <w:r w:rsidRPr="00A60CEE">
        <w:rPr>
          <w:rFonts w:ascii="Arial" w:eastAsia="Times New Roman" w:hAnsi="Arial" w:cs="Arial"/>
          <w:b/>
          <w:bCs/>
          <w:color w:val="003399"/>
          <w:sz w:val="18"/>
          <w:szCs w:val="18"/>
        </w:rPr>
        <w:t>(2) Brain</w:t>
      </w:r>
    </w:p>
    <w:p w:rsidR="00A60CEE" w:rsidRPr="00A60CEE" w:rsidRDefault="00A60CEE" w:rsidP="00E13FB9">
      <w:pPr>
        <w:shd w:val="clear" w:color="auto" w:fill="FFFFFF"/>
        <w:spacing w:before="100" w:beforeAutospacing="1" w:after="100" w:afterAutospacing="1" w:line="195" w:lineRule="atLeast"/>
        <w:jc w:val="both"/>
        <w:rPr>
          <w:rFonts w:ascii="Verdana" w:eastAsia="Times New Roman" w:hAnsi="Verdana" w:cs="Times New Roman"/>
          <w:color w:val="000000"/>
          <w:sz w:val="15"/>
          <w:szCs w:val="15"/>
        </w:rPr>
      </w:pPr>
      <w:r w:rsidRPr="00A60CEE">
        <w:rPr>
          <w:rFonts w:ascii="Verdana" w:eastAsia="Times New Roman" w:hAnsi="Verdana" w:cs="Times New Roman"/>
          <w:color w:val="000000"/>
          <w:sz w:val="15"/>
          <w:szCs w:val="15"/>
        </w:rPr>
        <w:t>Since brain cells do not reproduce, they won't be damaged directly unless the exposure is 5,000 rems or greater. Like the heart, radiation kills nerve cells and small blood vessels, and can cause seizures and immediate death.</w:t>
      </w:r>
    </w:p>
    <w:p w:rsidR="00A60CEE" w:rsidRPr="00A60CEE" w:rsidRDefault="00A60CEE" w:rsidP="00E13FB9">
      <w:pPr>
        <w:shd w:val="clear" w:color="auto" w:fill="FFFFFF"/>
        <w:spacing w:before="100" w:beforeAutospacing="1" w:after="100" w:afterAutospacing="1" w:line="240" w:lineRule="atLeast"/>
        <w:jc w:val="both"/>
        <w:outlineLvl w:val="3"/>
        <w:rPr>
          <w:rFonts w:ascii="Arial" w:eastAsia="Times New Roman" w:hAnsi="Arial" w:cs="Arial"/>
          <w:b/>
          <w:bCs/>
          <w:color w:val="003399"/>
          <w:sz w:val="18"/>
          <w:szCs w:val="18"/>
        </w:rPr>
      </w:pPr>
      <w:bookmarkStart w:id="2" w:name="Thyroid"/>
      <w:bookmarkEnd w:id="2"/>
      <w:r w:rsidRPr="00A60CEE">
        <w:rPr>
          <w:rFonts w:ascii="Arial" w:eastAsia="Times New Roman" w:hAnsi="Arial" w:cs="Arial"/>
          <w:b/>
          <w:bCs/>
          <w:color w:val="003399"/>
          <w:sz w:val="18"/>
          <w:szCs w:val="18"/>
        </w:rPr>
        <w:t>(3) Thyroid</w:t>
      </w:r>
    </w:p>
    <w:p w:rsidR="00A60CEE" w:rsidRPr="00A60CEE" w:rsidRDefault="00A60CEE" w:rsidP="00E13FB9">
      <w:pPr>
        <w:shd w:val="clear" w:color="auto" w:fill="FFFFFF"/>
        <w:spacing w:before="100" w:beforeAutospacing="1" w:after="100" w:afterAutospacing="1" w:line="195" w:lineRule="atLeast"/>
        <w:jc w:val="both"/>
        <w:rPr>
          <w:rFonts w:ascii="Verdana" w:eastAsia="Times New Roman" w:hAnsi="Verdana" w:cs="Times New Roman"/>
          <w:color w:val="000000"/>
          <w:sz w:val="15"/>
          <w:szCs w:val="15"/>
        </w:rPr>
      </w:pPr>
      <w:r w:rsidRPr="00A60CEE">
        <w:rPr>
          <w:rFonts w:ascii="Verdana" w:eastAsia="Times New Roman" w:hAnsi="Verdana" w:cs="Times New Roman"/>
          <w:color w:val="000000"/>
          <w:sz w:val="15"/>
          <w:szCs w:val="15"/>
        </w:rPr>
        <w:t>The certain body parts are more specifically affected by exposure to different types of radiation sources. The thyroid gland is susceptible to radioactive iodine. In sufficient amounts, radioactive iodine can destroy all or part of the thyroid. By taking potassium iodide, one can reduce the effects of exposure.</w:t>
      </w:r>
    </w:p>
    <w:p w:rsidR="00A60CEE" w:rsidRPr="00A60CEE" w:rsidRDefault="00A60CEE" w:rsidP="00E13FB9">
      <w:pPr>
        <w:shd w:val="clear" w:color="auto" w:fill="FFFFFF"/>
        <w:spacing w:before="100" w:beforeAutospacing="1" w:after="100" w:afterAutospacing="1" w:line="240" w:lineRule="atLeast"/>
        <w:jc w:val="both"/>
        <w:outlineLvl w:val="3"/>
        <w:rPr>
          <w:rFonts w:ascii="Arial" w:eastAsia="Times New Roman" w:hAnsi="Arial" w:cs="Arial"/>
          <w:b/>
          <w:bCs/>
          <w:color w:val="003399"/>
          <w:sz w:val="18"/>
          <w:szCs w:val="18"/>
        </w:rPr>
      </w:pPr>
      <w:bookmarkStart w:id="3" w:name="Blood"/>
      <w:bookmarkEnd w:id="3"/>
      <w:r w:rsidRPr="00A60CEE">
        <w:rPr>
          <w:rFonts w:ascii="Arial" w:eastAsia="Times New Roman" w:hAnsi="Arial" w:cs="Arial"/>
          <w:b/>
          <w:bCs/>
          <w:color w:val="003399"/>
          <w:sz w:val="18"/>
          <w:szCs w:val="18"/>
        </w:rPr>
        <w:t>(4) Blood System</w:t>
      </w:r>
    </w:p>
    <w:p w:rsidR="00A60CEE" w:rsidRPr="00A60CEE" w:rsidRDefault="00A60CEE" w:rsidP="00E13FB9">
      <w:pPr>
        <w:shd w:val="clear" w:color="auto" w:fill="FFFFFF"/>
        <w:spacing w:before="100" w:beforeAutospacing="1" w:after="100" w:afterAutospacing="1" w:line="195" w:lineRule="atLeast"/>
        <w:jc w:val="both"/>
        <w:rPr>
          <w:rFonts w:ascii="Verdana" w:eastAsia="Times New Roman" w:hAnsi="Verdana" w:cs="Times New Roman"/>
          <w:color w:val="000000"/>
          <w:sz w:val="15"/>
          <w:szCs w:val="15"/>
        </w:rPr>
      </w:pPr>
      <w:r w:rsidRPr="00A60CEE">
        <w:rPr>
          <w:rFonts w:ascii="Verdana" w:eastAsia="Times New Roman" w:hAnsi="Verdana" w:cs="Times New Roman"/>
          <w:color w:val="000000"/>
          <w:sz w:val="15"/>
          <w:szCs w:val="15"/>
        </w:rPr>
        <w:t>When a person is exposed to around 100 rems, the blood's lymphocyte cell count will be reduced, leaving the victim more susceptible to infection. This is often refered to as mild radiation sickness. Early symptoms of radiation sickness mimic those of flu and may go unnoticed unless a blood count is done.According to data from Hiroshima and Nagaski, show that symptoms may persist for up to 10 years and may also have an increased long-term risk for leukemia and lymphoma.</w:t>
      </w:r>
    </w:p>
    <w:p w:rsidR="00A60CEE" w:rsidRPr="00A60CEE" w:rsidRDefault="00A60CEE" w:rsidP="00E13FB9">
      <w:pPr>
        <w:shd w:val="clear" w:color="auto" w:fill="FFFFFF"/>
        <w:spacing w:before="100" w:beforeAutospacing="1" w:after="100" w:afterAutospacing="1" w:line="240" w:lineRule="atLeast"/>
        <w:jc w:val="both"/>
        <w:outlineLvl w:val="3"/>
        <w:rPr>
          <w:rFonts w:ascii="Arial" w:eastAsia="Times New Roman" w:hAnsi="Arial" w:cs="Arial"/>
          <w:b/>
          <w:bCs/>
          <w:color w:val="003399"/>
          <w:sz w:val="18"/>
          <w:szCs w:val="18"/>
        </w:rPr>
      </w:pPr>
      <w:bookmarkStart w:id="4" w:name="Heart"/>
      <w:bookmarkEnd w:id="4"/>
      <w:r w:rsidRPr="00A60CEE">
        <w:rPr>
          <w:rFonts w:ascii="Arial" w:eastAsia="Times New Roman" w:hAnsi="Arial" w:cs="Arial"/>
          <w:b/>
          <w:bCs/>
          <w:color w:val="003399"/>
          <w:sz w:val="18"/>
          <w:szCs w:val="18"/>
        </w:rPr>
        <w:t>(5) Heart</w:t>
      </w:r>
    </w:p>
    <w:p w:rsidR="00A60CEE" w:rsidRPr="00A60CEE" w:rsidRDefault="00A60CEE" w:rsidP="00E13FB9">
      <w:pPr>
        <w:shd w:val="clear" w:color="auto" w:fill="FFFFFF"/>
        <w:spacing w:before="100" w:beforeAutospacing="1" w:after="100" w:afterAutospacing="1" w:line="195" w:lineRule="atLeast"/>
        <w:jc w:val="both"/>
        <w:rPr>
          <w:rFonts w:ascii="Verdana" w:eastAsia="Times New Roman" w:hAnsi="Verdana" w:cs="Times New Roman"/>
          <w:color w:val="000000"/>
          <w:sz w:val="15"/>
          <w:szCs w:val="15"/>
        </w:rPr>
      </w:pPr>
      <w:r w:rsidRPr="00A60CEE">
        <w:rPr>
          <w:rFonts w:ascii="Verdana" w:eastAsia="Times New Roman" w:hAnsi="Verdana" w:cs="Times New Roman"/>
          <w:color w:val="000000"/>
          <w:sz w:val="15"/>
          <w:szCs w:val="15"/>
        </w:rPr>
        <w:t>Intense exposure to radioactive material at 1,000 to 5,000 rems would do immediate damage to small blood vessels and probably cause heart failure and death directly.</w:t>
      </w:r>
    </w:p>
    <w:p w:rsidR="00A60CEE" w:rsidRPr="00A60CEE" w:rsidRDefault="00A60CEE" w:rsidP="00E13FB9">
      <w:pPr>
        <w:shd w:val="clear" w:color="auto" w:fill="FFFFFF"/>
        <w:spacing w:before="100" w:beforeAutospacing="1" w:after="100" w:afterAutospacing="1" w:line="240" w:lineRule="atLeast"/>
        <w:jc w:val="both"/>
        <w:outlineLvl w:val="3"/>
        <w:rPr>
          <w:rFonts w:ascii="Arial" w:eastAsia="Times New Roman" w:hAnsi="Arial" w:cs="Arial"/>
          <w:b/>
          <w:bCs/>
          <w:color w:val="003399"/>
          <w:sz w:val="18"/>
          <w:szCs w:val="18"/>
        </w:rPr>
      </w:pPr>
      <w:bookmarkStart w:id="5" w:name="GI"/>
      <w:bookmarkEnd w:id="5"/>
      <w:r w:rsidRPr="00A60CEE">
        <w:rPr>
          <w:rFonts w:ascii="Arial" w:eastAsia="Times New Roman" w:hAnsi="Arial" w:cs="Arial"/>
          <w:b/>
          <w:bCs/>
          <w:color w:val="003399"/>
          <w:sz w:val="18"/>
          <w:szCs w:val="18"/>
        </w:rPr>
        <w:t>(6) Gastrointestinal Tract</w:t>
      </w:r>
    </w:p>
    <w:p w:rsidR="00A60CEE" w:rsidRPr="00A60CEE" w:rsidRDefault="00A60CEE" w:rsidP="00E13FB9">
      <w:pPr>
        <w:shd w:val="clear" w:color="auto" w:fill="FFFFFF"/>
        <w:spacing w:before="100" w:beforeAutospacing="1" w:after="100" w:afterAutospacing="1" w:line="195" w:lineRule="atLeast"/>
        <w:jc w:val="both"/>
        <w:rPr>
          <w:rFonts w:ascii="Verdana" w:eastAsia="Times New Roman" w:hAnsi="Verdana" w:cs="Times New Roman"/>
          <w:color w:val="000000"/>
          <w:sz w:val="15"/>
          <w:szCs w:val="15"/>
        </w:rPr>
      </w:pPr>
      <w:r w:rsidRPr="00A60CEE">
        <w:rPr>
          <w:rFonts w:ascii="Verdana" w:eastAsia="Times New Roman" w:hAnsi="Verdana" w:cs="Times New Roman"/>
          <w:color w:val="000000"/>
          <w:sz w:val="15"/>
          <w:szCs w:val="15"/>
        </w:rPr>
        <w:t>Radiation damage to the intestinal tract lining will cause nausea, bloody vomiting and diarrhea. This is occurs when the victim's exposure is 200 rems or more. The radiation will begin to destroy the cells in the body that divide rapidly. These including blood, GI tract, reproductive and hair cells, and harms their DNA and RNA of surviving cells.</w:t>
      </w:r>
    </w:p>
    <w:p w:rsidR="00A60CEE" w:rsidRPr="00A60CEE" w:rsidRDefault="00A60CEE" w:rsidP="00E13FB9">
      <w:pPr>
        <w:shd w:val="clear" w:color="auto" w:fill="FFFFFF"/>
        <w:spacing w:before="100" w:beforeAutospacing="1" w:after="100" w:afterAutospacing="1" w:line="240" w:lineRule="atLeast"/>
        <w:jc w:val="both"/>
        <w:outlineLvl w:val="3"/>
        <w:rPr>
          <w:rFonts w:ascii="Arial" w:eastAsia="Times New Roman" w:hAnsi="Arial" w:cs="Arial"/>
          <w:b/>
          <w:bCs/>
          <w:color w:val="003399"/>
          <w:sz w:val="18"/>
          <w:szCs w:val="18"/>
        </w:rPr>
      </w:pPr>
      <w:bookmarkStart w:id="6" w:name="Repro"/>
      <w:bookmarkEnd w:id="6"/>
      <w:r w:rsidRPr="00A60CEE">
        <w:rPr>
          <w:rFonts w:ascii="Arial" w:eastAsia="Times New Roman" w:hAnsi="Arial" w:cs="Arial"/>
          <w:b/>
          <w:bCs/>
          <w:color w:val="003399"/>
          <w:sz w:val="18"/>
          <w:szCs w:val="18"/>
        </w:rPr>
        <w:t>(7) Reproductive Tract</w:t>
      </w:r>
    </w:p>
    <w:p w:rsidR="00A60CEE" w:rsidRPr="00A60CEE" w:rsidRDefault="00A60CEE" w:rsidP="00E13FB9">
      <w:pPr>
        <w:shd w:val="clear" w:color="auto" w:fill="FFFFFF"/>
        <w:spacing w:before="100" w:beforeAutospacing="1" w:after="100" w:afterAutospacing="1" w:line="195" w:lineRule="atLeast"/>
        <w:jc w:val="both"/>
        <w:rPr>
          <w:rFonts w:ascii="Verdana" w:eastAsia="Times New Roman" w:hAnsi="Verdana" w:cs="Times New Roman"/>
          <w:color w:val="000000"/>
          <w:sz w:val="15"/>
          <w:szCs w:val="15"/>
        </w:rPr>
      </w:pPr>
      <w:r w:rsidRPr="00A60CEE">
        <w:rPr>
          <w:rFonts w:ascii="Verdana" w:eastAsia="Times New Roman" w:hAnsi="Verdana" w:cs="Times New Roman"/>
          <w:color w:val="000000"/>
          <w:sz w:val="15"/>
          <w:szCs w:val="15"/>
        </w:rPr>
        <w:lastRenderedPageBreak/>
        <w:t>Because reproductive tract cells divide rapidly, these areas of the body can be damaged at rem levels as low as 200. Long-term, some radiation sickness victims will become sterile.</w:t>
      </w:r>
    </w:p>
    <w:p w:rsidR="00A60CEE" w:rsidRDefault="00A60CEE" w:rsidP="00E13FB9">
      <w:pPr>
        <w:pStyle w:val="Heading1"/>
        <w:shd w:val="clear" w:color="auto" w:fill="F8FCFF"/>
        <w:jc w:val="both"/>
      </w:pPr>
      <w:r>
        <w:t>Weight loss</w:t>
      </w:r>
    </w:p>
    <w:p w:rsidR="00A60CEE" w:rsidRDefault="00A60CEE" w:rsidP="00E13FB9">
      <w:pPr>
        <w:pStyle w:val="Heading3"/>
        <w:shd w:val="clear" w:color="auto" w:fill="F8FCFF"/>
        <w:jc w:val="both"/>
        <w:rPr>
          <w:b w:val="0"/>
          <w:bCs w:val="0"/>
        </w:rPr>
      </w:pPr>
      <w:r>
        <w:rPr>
          <w:b w:val="0"/>
          <w:bCs w:val="0"/>
        </w:rPr>
        <w:t>From Wikipedia, the free encyclopedia</w:t>
      </w:r>
    </w:p>
    <w:p w:rsidR="00A60CEE" w:rsidRDefault="00A60CEE" w:rsidP="00E13FB9">
      <w:pPr>
        <w:shd w:val="clear" w:color="auto" w:fill="F8FCFF"/>
        <w:jc w:val="both"/>
        <w:rPr>
          <w:sz w:val="24"/>
          <w:szCs w:val="24"/>
        </w:rPr>
      </w:pPr>
      <w:r>
        <w:t xml:space="preserve">Jump to: </w:t>
      </w:r>
      <w:hyperlink r:id="rId8" w:anchor="column-one" w:history="1">
        <w:r>
          <w:rPr>
            <w:rStyle w:val="Hyperlink"/>
          </w:rPr>
          <w:t>navigation</w:t>
        </w:r>
      </w:hyperlink>
      <w:r>
        <w:t xml:space="preserve">, </w:t>
      </w:r>
      <w:hyperlink r:id="rId9" w:anchor="searchInput" w:history="1">
        <w:r>
          <w:rPr>
            <w:rStyle w:val="Hyperlink"/>
          </w:rPr>
          <w:t>search</w:t>
        </w:r>
      </w:hyperlink>
    </w:p>
    <w:tbl>
      <w:tblPr>
        <w:tblW w:w="0" w:type="auto"/>
        <w:tblCellSpacing w:w="15" w:type="dxa"/>
        <w:tblCellMar>
          <w:top w:w="15" w:type="dxa"/>
          <w:left w:w="15" w:type="dxa"/>
          <w:bottom w:w="15" w:type="dxa"/>
          <w:right w:w="15" w:type="dxa"/>
        </w:tblCellMar>
        <w:tblLook w:val="04A0"/>
      </w:tblPr>
      <w:tblGrid>
        <w:gridCol w:w="892"/>
        <w:gridCol w:w="10400"/>
      </w:tblGrid>
      <w:tr w:rsidR="00A60CEE" w:rsidTr="00A60CEE">
        <w:trPr>
          <w:tblCellSpacing w:w="15" w:type="dxa"/>
        </w:trPr>
        <w:tc>
          <w:tcPr>
            <w:tcW w:w="0" w:type="auto"/>
            <w:tcBorders>
              <w:top w:val="nil"/>
              <w:left w:val="nil"/>
              <w:bottom w:val="nil"/>
              <w:right w:val="nil"/>
            </w:tcBorders>
            <w:tcMar>
              <w:top w:w="30" w:type="dxa"/>
              <w:left w:w="216" w:type="dxa"/>
              <w:bottom w:w="30" w:type="dxa"/>
              <w:right w:w="0" w:type="dxa"/>
            </w:tcMar>
            <w:vAlign w:val="center"/>
            <w:hideMark/>
          </w:tcPr>
          <w:p w:rsidR="00A60CEE" w:rsidRDefault="00A60CEE" w:rsidP="00E13FB9">
            <w:pPr>
              <w:jc w:val="both"/>
              <w:divId w:val="1722243983"/>
              <w:rPr>
                <w:sz w:val="24"/>
                <w:szCs w:val="24"/>
              </w:rPr>
            </w:pPr>
            <w:r>
              <w:rPr>
                <w:noProof/>
                <w:color w:val="0000FF"/>
              </w:rPr>
              <w:drawing>
                <wp:inline distT="0" distB="0" distL="0" distR="0">
                  <wp:extent cx="381000" cy="381000"/>
                  <wp:effectExtent l="19050" t="0" r="0" b="0"/>
                  <wp:docPr id="3" name="Picture 3" descr="http://upload.wikimedia.org/wikipedia/en/d/d6/Ambox_style.png">
                    <a:hlinkClick xmlns:a="http://schemas.openxmlformats.org/drawingml/2006/main" r:id="rId10" tooltip="&quot;Ambox style.p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en/d/d6/Ambox_style.png">
                            <a:hlinkClick r:id="rId10" tooltip="&quot;Ambox style.png&quot;"/>
                          </pic:cNvPr>
                          <pic:cNvPicPr>
                            <a:picLocks noChangeAspect="1" noChangeArrowheads="1"/>
                          </pic:cNvPicPr>
                        </pic:nvPicPr>
                        <pic:blipFill>
                          <a:blip r:embed="rId11"/>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5000" w:type="pct"/>
            <w:tcBorders>
              <w:top w:val="nil"/>
              <w:left w:val="nil"/>
              <w:bottom w:val="nil"/>
              <w:right w:val="nil"/>
            </w:tcBorders>
            <w:tcMar>
              <w:top w:w="60" w:type="dxa"/>
              <w:left w:w="216" w:type="dxa"/>
              <w:bottom w:w="60" w:type="dxa"/>
              <w:right w:w="216" w:type="dxa"/>
            </w:tcMar>
            <w:vAlign w:val="center"/>
            <w:hideMark/>
          </w:tcPr>
          <w:p w:rsidR="00A60CEE" w:rsidRDefault="00A60CEE" w:rsidP="00E13FB9">
            <w:pPr>
              <w:jc w:val="both"/>
              <w:rPr>
                <w:sz w:val="24"/>
                <w:szCs w:val="24"/>
              </w:rPr>
            </w:pPr>
            <w:r>
              <w:t xml:space="preserve">This article </w:t>
            </w:r>
            <w:r>
              <w:rPr>
                <w:b/>
                <w:bCs/>
              </w:rPr>
              <w:t xml:space="preserve">may require </w:t>
            </w:r>
            <w:hyperlink r:id="rId12" w:tooltip="Wikipedia:Cleanup" w:history="1">
              <w:r>
                <w:rPr>
                  <w:rStyle w:val="Hyperlink"/>
                  <w:b/>
                  <w:bCs/>
                </w:rPr>
                <w:t>cleanup</w:t>
              </w:r>
            </w:hyperlink>
            <w:r>
              <w:rPr>
                <w:b/>
                <w:bCs/>
              </w:rPr>
              <w:t xml:space="preserve"> to meet Wikipedia's </w:t>
            </w:r>
            <w:hyperlink r:id="rId13" w:tooltip="Wikipedia:Manual of Style" w:history="1">
              <w:r>
                <w:rPr>
                  <w:rStyle w:val="Hyperlink"/>
                  <w:b/>
                  <w:bCs/>
                </w:rPr>
                <w:t>quality standards</w:t>
              </w:r>
            </w:hyperlink>
            <w:r>
              <w:rPr>
                <w:b/>
                <w:bCs/>
              </w:rPr>
              <w:t>.</w:t>
            </w:r>
            <w:r>
              <w:t xml:space="preserve"> Please </w:t>
            </w:r>
            <w:hyperlink r:id="rId14" w:tooltip="http://en.wikipedia.org/w/index.php?title=Weight_loss&amp;action=edit" w:history="1">
              <w:r>
                <w:rPr>
                  <w:rStyle w:val="Hyperlink"/>
                </w:rPr>
                <w:t>improve this article</w:t>
              </w:r>
            </w:hyperlink>
            <w:r>
              <w:t xml:space="preserve"> if you can. </w:t>
            </w:r>
            <w:r>
              <w:rPr>
                <w:i/>
                <w:iCs/>
                <w:sz w:val="20"/>
                <w:szCs w:val="20"/>
              </w:rPr>
              <w:t>(May 2008)</w:t>
            </w:r>
          </w:p>
        </w:tc>
      </w:tr>
    </w:tbl>
    <w:p w:rsidR="00A60CEE" w:rsidRDefault="00A60CEE" w:rsidP="00E13FB9">
      <w:pPr>
        <w:shd w:val="clear" w:color="auto" w:fill="F8FCFF"/>
        <w:jc w:val="both"/>
        <w:rPr>
          <w:i/>
          <w:iCs/>
        </w:rPr>
      </w:pPr>
      <w:r>
        <w:rPr>
          <w:i/>
          <w:iCs/>
        </w:rPr>
        <w:t xml:space="preserve">For the episode of the United States version of </w:t>
      </w:r>
      <w:r>
        <w:t>The Office</w:t>
      </w:r>
      <w:r>
        <w:rPr>
          <w:i/>
          <w:iCs/>
        </w:rPr>
        <w:t xml:space="preserve">, see </w:t>
      </w:r>
      <w:hyperlink r:id="rId15" w:tooltip="Weight Loss (The Office)" w:history="1">
        <w:r>
          <w:rPr>
            <w:rStyle w:val="Hyperlink"/>
            <w:i/>
            <w:iCs/>
          </w:rPr>
          <w:t>Weight Loss (The Office)</w:t>
        </w:r>
      </w:hyperlink>
      <w:r>
        <w:rPr>
          <w:i/>
          <w:iCs/>
        </w:rPr>
        <w:t>.</w:t>
      </w:r>
    </w:p>
    <w:p w:rsidR="00A60CEE" w:rsidRDefault="00A60CEE" w:rsidP="00E13FB9">
      <w:pPr>
        <w:shd w:val="clear" w:color="auto" w:fill="F8FCFF"/>
        <w:jc w:val="both"/>
      </w:pPr>
      <w:r>
        <w:rPr>
          <w:noProof/>
          <w:color w:val="0000FF"/>
        </w:rPr>
        <w:drawing>
          <wp:inline distT="0" distB="0" distL="0" distR="0">
            <wp:extent cx="2010833" cy="1447800"/>
            <wp:effectExtent l="19050" t="0" r="8467" b="0"/>
            <wp:docPr id="4" name="Picture 4" descr="http://upload.wikimedia.org/wikipedia/en/thumb/9/9b/Weightloss_pyramid.JPG/150px-Weightloss_pyramid.JPG">
              <a:hlinkClick xmlns:a="http://schemas.openxmlformats.org/drawingml/2006/main" r:id="rId16" tooltip="&quot;A weightloss pyramid made on the model by BC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en/thumb/9/9b/Weightloss_pyramid.JPG/150px-Weightloss_pyramid.JPG">
                      <a:hlinkClick r:id="rId16" tooltip="&quot;A weightloss pyramid made on the model by BCM&quot;"/>
                    </pic:cNvPr>
                    <pic:cNvPicPr>
                      <a:picLocks noChangeAspect="1" noChangeArrowheads="1"/>
                    </pic:cNvPicPr>
                  </pic:nvPicPr>
                  <pic:blipFill>
                    <a:blip r:embed="rId17"/>
                    <a:srcRect/>
                    <a:stretch>
                      <a:fillRect/>
                    </a:stretch>
                  </pic:blipFill>
                  <pic:spPr bwMode="auto">
                    <a:xfrm>
                      <a:off x="0" y="0"/>
                      <a:ext cx="2010833" cy="1447800"/>
                    </a:xfrm>
                    <a:prstGeom prst="rect">
                      <a:avLst/>
                    </a:prstGeom>
                    <a:noFill/>
                    <a:ln w="9525">
                      <a:noFill/>
                      <a:miter lim="800000"/>
                      <a:headEnd/>
                      <a:tailEnd/>
                    </a:ln>
                  </pic:spPr>
                </pic:pic>
              </a:graphicData>
            </a:graphic>
          </wp:inline>
        </w:drawing>
      </w:r>
    </w:p>
    <w:p w:rsidR="00A60CEE" w:rsidRDefault="00A60CEE" w:rsidP="00E13FB9">
      <w:pPr>
        <w:shd w:val="clear" w:color="auto" w:fill="F8FCFF"/>
        <w:jc w:val="both"/>
      </w:pPr>
      <w:r>
        <w:rPr>
          <w:noProof/>
          <w:color w:val="0000FF"/>
        </w:rPr>
        <w:drawing>
          <wp:inline distT="0" distB="0" distL="0" distR="0">
            <wp:extent cx="142875" cy="104775"/>
            <wp:effectExtent l="19050" t="0" r="9525" b="0"/>
            <wp:docPr id="5" name="Picture 5" descr="http://en.wikipedia.org/skins-1.5/common/images/magnify-clip.png">
              <a:hlinkClick xmlns:a="http://schemas.openxmlformats.org/drawingml/2006/main" r:id="rId16" tooltip="Enlar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n.wikipedia.org/skins-1.5/common/images/magnify-clip.png">
                      <a:hlinkClick r:id="rId16" tooltip="Enlarge"/>
                    </pic:cNvPr>
                    <pic:cNvPicPr>
                      <a:picLocks noChangeAspect="1" noChangeArrowheads="1"/>
                    </pic:cNvPicPr>
                  </pic:nvPicPr>
                  <pic:blipFill>
                    <a:blip r:embed="rId18"/>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A60CEE" w:rsidRDefault="00A60CEE" w:rsidP="00E13FB9">
      <w:pPr>
        <w:shd w:val="clear" w:color="auto" w:fill="F8FCFF"/>
        <w:jc w:val="both"/>
      </w:pPr>
      <w:r>
        <w:t xml:space="preserve">A </w:t>
      </w:r>
      <w:hyperlink r:id="rId19" w:tooltip="Food guide pyramid" w:history="1">
        <w:r>
          <w:rPr>
            <w:rStyle w:val="Hyperlink"/>
          </w:rPr>
          <w:t>weightloss pyramid</w:t>
        </w:r>
      </w:hyperlink>
      <w:r>
        <w:t xml:space="preserve"> made on the model by BCM</w:t>
      </w:r>
    </w:p>
    <w:p w:rsidR="00A60CEE" w:rsidRDefault="00A60CEE" w:rsidP="00E13FB9">
      <w:pPr>
        <w:pStyle w:val="NormalWeb"/>
        <w:shd w:val="clear" w:color="auto" w:fill="F8FCFF"/>
        <w:jc w:val="both"/>
      </w:pPr>
      <w:r>
        <w:rPr>
          <w:b/>
          <w:bCs/>
        </w:rPr>
        <w:t>Weight loss</w:t>
      </w:r>
      <w:r>
        <w:t xml:space="preserve">, in the context of </w:t>
      </w:r>
      <w:hyperlink r:id="rId20" w:tooltip="Medicine" w:history="1">
        <w:r>
          <w:rPr>
            <w:rStyle w:val="Hyperlink"/>
          </w:rPr>
          <w:t>medicine</w:t>
        </w:r>
      </w:hyperlink>
      <w:r>
        <w:t xml:space="preserve"> or </w:t>
      </w:r>
      <w:hyperlink r:id="rId21" w:tooltip="Health" w:history="1">
        <w:r>
          <w:rPr>
            <w:rStyle w:val="Hyperlink"/>
          </w:rPr>
          <w:t>health</w:t>
        </w:r>
      </w:hyperlink>
      <w:r>
        <w:t xml:space="preserve"> or </w:t>
      </w:r>
      <w:hyperlink r:id="rId22" w:tooltip="Physical fitness" w:history="1">
        <w:r>
          <w:rPr>
            <w:rStyle w:val="Hyperlink"/>
          </w:rPr>
          <w:t>physical fitness</w:t>
        </w:r>
      </w:hyperlink>
      <w:r>
        <w:t xml:space="preserve">, is a reduction of the total </w:t>
      </w:r>
      <w:hyperlink r:id="rId23" w:tooltip="Body weight" w:history="1">
        <w:r>
          <w:rPr>
            <w:rStyle w:val="Hyperlink"/>
          </w:rPr>
          <w:t>body weight</w:t>
        </w:r>
      </w:hyperlink>
      <w:r>
        <w:t xml:space="preserve">, due to a mean loss of fluid, body fat or </w:t>
      </w:r>
      <w:hyperlink r:id="rId24" w:tooltip="Adipose tissue" w:history="1">
        <w:r>
          <w:rPr>
            <w:rStyle w:val="Hyperlink"/>
          </w:rPr>
          <w:t>adipose tissue</w:t>
        </w:r>
      </w:hyperlink>
      <w:r>
        <w:t xml:space="preserve"> and/or lean mass, namely bone mineral deposits, muscle, tendon and other connective tissue.</w:t>
      </w:r>
    </w:p>
    <w:p w:rsidR="00A60CEE" w:rsidRDefault="00A60CEE" w:rsidP="00E13FB9">
      <w:pPr>
        <w:pStyle w:val="NormalWeb"/>
        <w:shd w:val="clear" w:color="auto" w:fill="F8FCFF"/>
        <w:jc w:val="both"/>
      </w:pPr>
      <w:r>
        <w:t xml:space="preserve">It can occur unintentionally due to an underlying disease or can come about through conscious effort to improve an </w:t>
      </w:r>
      <w:hyperlink r:id="rId25" w:tooltip="Overweight" w:history="1">
        <w:r>
          <w:rPr>
            <w:rStyle w:val="Hyperlink"/>
          </w:rPr>
          <w:t>overweight</w:t>
        </w:r>
      </w:hyperlink>
      <w:r>
        <w:t xml:space="preserve"> or </w:t>
      </w:r>
      <w:hyperlink r:id="rId26" w:tooltip="Obese" w:history="1">
        <w:r>
          <w:rPr>
            <w:rStyle w:val="Hyperlink"/>
          </w:rPr>
          <w:t>obese</w:t>
        </w:r>
      </w:hyperlink>
      <w:r>
        <w:t xml:space="preserve"> state.</w:t>
      </w:r>
    </w:p>
    <w:tbl>
      <w:tblPr>
        <w:tblW w:w="0" w:type="auto"/>
        <w:tblCellSpacing w:w="15" w:type="dxa"/>
        <w:tblCellMar>
          <w:top w:w="15" w:type="dxa"/>
          <w:left w:w="15" w:type="dxa"/>
          <w:bottom w:w="15" w:type="dxa"/>
          <w:right w:w="15" w:type="dxa"/>
        </w:tblCellMar>
        <w:tblLook w:val="04A0"/>
      </w:tblPr>
      <w:tblGrid>
        <w:gridCol w:w="6093"/>
      </w:tblGrid>
      <w:tr w:rsidR="00A60CEE" w:rsidTr="00A60CEE">
        <w:trPr>
          <w:tblCellSpacing w:w="15" w:type="dxa"/>
        </w:trPr>
        <w:tc>
          <w:tcPr>
            <w:tcW w:w="0" w:type="auto"/>
            <w:vAlign w:val="center"/>
            <w:hideMark/>
          </w:tcPr>
          <w:p w:rsidR="00A60CEE" w:rsidRDefault="00A60CEE" w:rsidP="00E13FB9">
            <w:pPr>
              <w:pStyle w:val="Heading2"/>
              <w:jc w:val="both"/>
            </w:pPr>
            <w:r>
              <w:lastRenderedPageBreak/>
              <w:t>Contents</w:t>
            </w:r>
          </w:p>
          <w:p w:rsidR="00A60CEE" w:rsidRDefault="00A60CEE" w:rsidP="00E13FB9">
            <w:pPr>
              <w:jc w:val="both"/>
            </w:pPr>
            <w:r>
              <w:rPr>
                <w:rStyle w:val="toctoggle"/>
              </w:rPr>
              <w:t>[</w:t>
            </w:r>
            <w:hyperlink r:id="rId27" w:history="1">
              <w:r>
                <w:rPr>
                  <w:rStyle w:val="Hyperlink"/>
                </w:rPr>
                <w:t>hide</w:t>
              </w:r>
            </w:hyperlink>
            <w:r>
              <w:rPr>
                <w:rStyle w:val="toctoggle"/>
              </w:rPr>
              <w:t>]</w:t>
            </w:r>
          </w:p>
          <w:p w:rsidR="00A60CEE" w:rsidRDefault="000F5824" w:rsidP="00E13FB9">
            <w:pPr>
              <w:numPr>
                <w:ilvl w:val="0"/>
                <w:numId w:val="1"/>
              </w:numPr>
              <w:spacing w:before="100" w:beforeAutospacing="1" w:after="100" w:afterAutospacing="1" w:line="240" w:lineRule="auto"/>
              <w:jc w:val="both"/>
            </w:pPr>
            <w:hyperlink r:id="rId28" w:anchor="Unintentional_weight_loss" w:history="1">
              <w:r w:rsidR="00A60CEE">
                <w:rPr>
                  <w:rStyle w:val="tocnumber2"/>
                  <w:color w:val="0000FF"/>
                  <w:u w:val="single"/>
                </w:rPr>
                <w:t>1</w:t>
              </w:r>
              <w:r w:rsidR="00A60CEE">
                <w:rPr>
                  <w:rStyle w:val="Hyperlink"/>
                </w:rPr>
                <w:t xml:space="preserve"> </w:t>
              </w:r>
              <w:r w:rsidR="00A60CEE">
                <w:rPr>
                  <w:rStyle w:val="toctext"/>
                  <w:color w:val="0000FF"/>
                  <w:u w:val="single"/>
                </w:rPr>
                <w:t>Unintentional weight loss</w:t>
              </w:r>
            </w:hyperlink>
            <w:r w:rsidR="00A60CEE">
              <w:t xml:space="preserve"> </w:t>
            </w:r>
          </w:p>
          <w:p w:rsidR="00A60CEE" w:rsidRDefault="000F5824" w:rsidP="00E13FB9">
            <w:pPr>
              <w:numPr>
                <w:ilvl w:val="0"/>
                <w:numId w:val="1"/>
              </w:numPr>
              <w:spacing w:before="100" w:beforeAutospacing="1" w:after="100" w:afterAutospacing="1" w:line="240" w:lineRule="auto"/>
              <w:jc w:val="both"/>
            </w:pPr>
            <w:hyperlink r:id="rId29" w:anchor="Intentional_weight_loss" w:history="1">
              <w:r w:rsidR="00A60CEE">
                <w:rPr>
                  <w:rStyle w:val="tocnumber2"/>
                  <w:color w:val="0000FF"/>
                  <w:u w:val="single"/>
                </w:rPr>
                <w:t>2</w:t>
              </w:r>
              <w:r w:rsidR="00A60CEE">
                <w:rPr>
                  <w:rStyle w:val="Hyperlink"/>
                </w:rPr>
                <w:t xml:space="preserve"> </w:t>
              </w:r>
              <w:r w:rsidR="00A60CEE">
                <w:rPr>
                  <w:rStyle w:val="toctext"/>
                  <w:color w:val="0000FF"/>
                  <w:u w:val="single"/>
                </w:rPr>
                <w:t>Intentional weight loss</w:t>
              </w:r>
            </w:hyperlink>
            <w:r w:rsidR="00A60CEE">
              <w:t xml:space="preserve"> </w:t>
            </w:r>
          </w:p>
          <w:p w:rsidR="00A60CEE" w:rsidRDefault="000F5824" w:rsidP="00E13FB9">
            <w:pPr>
              <w:numPr>
                <w:ilvl w:val="1"/>
                <w:numId w:val="1"/>
              </w:numPr>
              <w:spacing w:before="100" w:beforeAutospacing="1" w:after="100" w:afterAutospacing="1" w:line="240" w:lineRule="auto"/>
              <w:jc w:val="both"/>
            </w:pPr>
            <w:hyperlink r:id="rId30" w:anchor="Therapeutic_weight_loss_techniques" w:history="1">
              <w:r w:rsidR="00A60CEE">
                <w:rPr>
                  <w:rStyle w:val="tocnumber2"/>
                  <w:color w:val="0000FF"/>
                  <w:u w:val="single"/>
                </w:rPr>
                <w:t>2.1</w:t>
              </w:r>
              <w:r w:rsidR="00A60CEE">
                <w:rPr>
                  <w:rStyle w:val="Hyperlink"/>
                </w:rPr>
                <w:t xml:space="preserve"> </w:t>
              </w:r>
              <w:r w:rsidR="00A60CEE">
                <w:rPr>
                  <w:rStyle w:val="toctext"/>
                  <w:color w:val="0000FF"/>
                  <w:u w:val="single"/>
                </w:rPr>
                <w:t>Therapeutic weight loss techniques</w:t>
              </w:r>
            </w:hyperlink>
            <w:r w:rsidR="00A60CEE">
              <w:t xml:space="preserve"> </w:t>
            </w:r>
          </w:p>
          <w:p w:rsidR="00A60CEE" w:rsidRDefault="000F5824" w:rsidP="00E13FB9">
            <w:pPr>
              <w:numPr>
                <w:ilvl w:val="1"/>
                <w:numId w:val="1"/>
              </w:numPr>
              <w:spacing w:before="100" w:beforeAutospacing="1" w:after="100" w:afterAutospacing="1" w:line="240" w:lineRule="auto"/>
              <w:jc w:val="both"/>
            </w:pPr>
            <w:hyperlink r:id="rId31" w:anchor="Crash_dieting" w:history="1">
              <w:r w:rsidR="00A60CEE">
                <w:rPr>
                  <w:rStyle w:val="tocnumber2"/>
                  <w:color w:val="0000FF"/>
                  <w:u w:val="single"/>
                </w:rPr>
                <w:t>2.2</w:t>
              </w:r>
              <w:r w:rsidR="00A60CEE">
                <w:rPr>
                  <w:rStyle w:val="Hyperlink"/>
                </w:rPr>
                <w:t xml:space="preserve"> </w:t>
              </w:r>
              <w:r w:rsidR="00A60CEE">
                <w:rPr>
                  <w:rStyle w:val="toctext"/>
                  <w:color w:val="0000FF"/>
                  <w:u w:val="single"/>
                </w:rPr>
                <w:t>Crash dieting</w:t>
              </w:r>
            </w:hyperlink>
            <w:r w:rsidR="00A60CEE">
              <w:t xml:space="preserve"> </w:t>
            </w:r>
          </w:p>
          <w:p w:rsidR="00A60CEE" w:rsidRDefault="000F5824" w:rsidP="00E13FB9">
            <w:pPr>
              <w:numPr>
                <w:ilvl w:val="1"/>
                <w:numId w:val="1"/>
              </w:numPr>
              <w:spacing w:before="100" w:beforeAutospacing="1" w:after="100" w:afterAutospacing="1" w:line="240" w:lineRule="auto"/>
              <w:jc w:val="both"/>
            </w:pPr>
            <w:hyperlink r:id="rId32" w:anchor="Weight_loss_industry" w:history="1">
              <w:r w:rsidR="00A60CEE">
                <w:rPr>
                  <w:rStyle w:val="tocnumber2"/>
                  <w:color w:val="0000FF"/>
                  <w:u w:val="single"/>
                </w:rPr>
                <w:t>2.3</w:t>
              </w:r>
              <w:r w:rsidR="00A60CEE">
                <w:rPr>
                  <w:rStyle w:val="Hyperlink"/>
                </w:rPr>
                <w:t xml:space="preserve"> </w:t>
              </w:r>
              <w:r w:rsidR="00A60CEE">
                <w:rPr>
                  <w:rStyle w:val="toctext"/>
                  <w:color w:val="0000FF"/>
                  <w:u w:val="single"/>
                </w:rPr>
                <w:t>Weight loss industry</w:t>
              </w:r>
            </w:hyperlink>
            <w:r w:rsidR="00A60CEE">
              <w:t xml:space="preserve"> </w:t>
            </w:r>
          </w:p>
          <w:p w:rsidR="00A60CEE" w:rsidRDefault="000F5824" w:rsidP="00E13FB9">
            <w:pPr>
              <w:numPr>
                <w:ilvl w:val="0"/>
                <w:numId w:val="1"/>
              </w:numPr>
              <w:spacing w:before="100" w:beforeAutospacing="1" w:after="100" w:afterAutospacing="1" w:line="240" w:lineRule="auto"/>
              <w:jc w:val="both"/>
            </w:pPr>
            <w:hyperlink r:id="rId33" w:anchor="See_also" w:history="1">
              <w:r w:rsidR="00A60CEE">
                <w:rPr>
                  <w:rStyle w:val="tocnumber2"/>
                  <w:color w:val="0000FF"/>
                  <w:u w:val="single"/>
                </w:rPr>
                <w:t>3</w:t>
              </w:r>
              <w:r w:rsidR="00A60CEE">
                <w:rPr>
                  <w:rStyle w:val="Hyperlink"/>
                </w:rPr>
                <w:t xml:space="preserve"> </w:t>
              </w:r>
              <w:r w:rsidR="00A60CEE">
                <w:rPr>
                  <w:rStyle w:val="toctext"/>
                  <w:color w:val="0000FF"/>
                  <w:u w:val="single"/>
                </w:rPr>
                <w:t>See also</w:t>
              </w:r>
            </w:hyperlink>
            <w:r w:rsidR="00A60CEE">
              <w:t xml:space="preserve"> </w:t>
            </w:r>
          </w:p>
          <w:p w:rsidR="00A60CEE" w:rsidRDefault="000F5824" w:rsidP="00E13FB9">
            <w:pPr>
              <w:numPr>
                <w:ilvl w:val="0"/>
                <w:numId w:val="1"/>
              </w:numPr>
              <w:spacing w:before="100" w:beforeAutospacing="1" w:after="100" w:afterAutospacing="1" w:line="240" w:lineRule="auto"/>
              <w:jc w:val="both"/>
            </w:pPr>
            <w:hyperlink r:id="rId34" w:anchor="References" w:history="1">
              <w:r w:rsidR="00A60CEE">
                <w:rPr>
                  <w:rStyle w:val="tocnumber2"/>
                  <w:color w:val="0000FF"/>
                  <w:u w:val="single"/>
                </w:rPr>
                <w:t>4</w:t>
              </w:r>
              <w:r w:rsidR="00A60CEE">
                <w:rPr>
                  <w:rStyle w:val="Hyperlink"/>
                </w:rPr>
                <w:t xml:space="preserve"> </w:t>
              </w:r>
              <w:r w:rsidR="00A60CEE">
                <w:rPr>
                  <w:rStyle w:val="toctext"/>
                  <w:color w:val="0000FF"/>
                  <w:u w:val="single"/>
                </w:rPr>
                <w:t>References</w:t>
              </w:r>
            </w:hyperlink>
            <w:r w:rsidR="00A60CEE">
              <w:t xml:space="preserve"> </w:t>
            </w:r>
          </w:p>
          <w:p w:rsidR="00A60CEE" w:rsidRDefault="000F5824" w:rsidP="00E13FB9">
            <w:pPr>
              <w:numPr>
                <w:ilvl w:val="0"/>
                <w:numId w:val="1"/>
              </w:numPr>
              <w:spacing w:before="100" w:beforeAutospacing="1" w:after="100" w:afterAutospacing="1" w:line="240" w:lineRule="auto"/>
              <w:jc w:val="both"/>
              <w:rPr>
                <w:sz w:val="24"/>
                <w:szCs w:val="24"/>
              </w:rPr>
            </w:pPr>
            <w:hyperlink r:id="rId35" w:anchor="External_links" w:history="1">
              <w:r w:rsidR="00A60CEE">
                <w:rPr>
                  <w:rStyle w:val="tocnumber2"/>
                  <w:color w:val="0000FF"/>
                  <w:u w:val="single"/>
                </w:rPr>
                <w:t>5</w:t>
              </w:r>
              <w:r w:rsidR="00A60CEE">
                <w:rPr>
                  <w:rStyle w:val="Hyperlink"/>
                </w:rPr>
                <w:t xml:space="preserve"> </w:t>
              </w:r>
              <w:r w:rsidR="00A60CEE">
                <w:rPr>
                  <w:rStyle w:val="toctext"/>
                  <w:color w:val="0000FF"/>
                  <w:u w:val="single"/>
                </w:rPr>
                <w:t>External links</w:t>
              </w:r>
            </w:hyperlink>
            <w:r w:rsidR="00A60CEE">
              <w:t xml:space="preserve"> </w:t>
            </w:r>
          </w:p>
        </w:tc>
      </w:tr>
    </w:tbl>
    <w:p w:rsidR="00A60CEE" w:rsidRDefault="00A60CEE" w:rsidP="00E13FB9">
      <w:pPr>
        <w:pStyle w:val="Heading2"/>
        <w:shd w:val="clear" w:color="auto" w:fill="F8FCFF"/>
        <w:jc w:val="both"/>
      </w:pPr>
      <w:bookmarkStart w:id="7" w:name="Unintentional_weight_loss"/>
      <w:bookmarkEnd w:id="7"/>
      <w:r>
        <w:rPr>
          <w:rStyle w:val="editsection"/>
        </w:rPr>
        <w:t>[</w:t>
      </w:r>
      <w:hyperlink r:id="rId36" w:tooltip="Edit section: Unintentional weight loss" w:history="1">
        <w:r>
          <w:rPr>
            <w:rStyle w:val="Hyperlink"/>
          </w:rPr>
          <w:t>edit</w:t>
        </w:r>
      </w:hyperlink>
      <w:r>
        <w:rPr>
          <w:rStyle w:val="editsection"/>
        </w:rPr>
        <w:t>]</w:t>
      </w:r>
      <w:r>
        <w:t xml:space="preserve"> </w:t>
      </w:r>
      <w:r>
        <w:rPr>
          <w:rStyle w:val="mw-headline"/>
        </w:rPr>
        <w:t>Unintentional weight loss</w:t>
      </w:r>
    </w:p>
    <w:p w:rsidR="00A60CEE" w:rsidRDefault="00A60CEE" w:rsidP="00E13FB9">
      <w:pPr>
        <w:pStyle w:val="NormalWeb"/>
        <w:shd w:val="clear" w:color="auto" w:fill="F8FCFF"/>
        <w:jc w:val="both"/>
      </w:pPr>
      <w:r>
        <w:t xml:space="preserve">Poor management of type 1 diabetes mellitus, also known as </w:t>
      </w:r>
      <w:hyperlink r:id="rId37" w:tooltip="Insulin-dependent diabetes mellitus" w:history="1">
        <w:r>
          <w:rPr>
            <w:rStyle w:val="Hyperlink"/>
          </w:rPr>
          <w:t>insulin-dependent diabetes mellitus</w:t>
        </w:r>
      </w:hyperlink>
      <w:r>
        <w:t xml:space="preserve"> (IDDM), leads to an excessive amount of glucose and an insufficient amount of insulin in the bloodstream. This triggers the release of </w:t>
      </w:r>
      <w:hyperlink r:id="rId38" w:tooltip="Triglycerides" w:history="1">
        <w:r>
          <w:rPr>
            <w:rStyle w:val="Hyperlink"/>
          </w:rPr>
          <w:t>triglycerides</w:t>
        </w:r>
      </w:hyperlink>
      <w:r>
        <w:t xml:space="preserve"> from adipose (fat) tissue and </w:t>
      </w:r>
      <w:hyperlink r:id="rId39" w:tooltip="Catabolism" w:history="1">
        <w:r>
          <w:rPr>
            <w:rStyle w:val="Hyperlink"/>
          </w:rPr>
          <w:t>catabolism</w:t>
        </w:r>
      </w:hyperlink>
      <w:r>
        <w:t xml:space="preserve"> (breakdown) of </w:t>
      </w:r>
      <w:hyperlink r:id="rId40" w:tooltip="Amino acids" w:history="1">
        <w:r>
          <w:rPr>
            <w:rStyle w:val="Hyperlink"/>
          </w:rPr>
          <w:t>amino acids</w:t>
        </w:r>
      </w:hyperlink>
      <w:r>
        <w:t xml:space="preserve"> in muscle tissue. This results in a loss of both fat and lean mass, leading to a significant reduction in total body weight. Note that untreated type 1 diabetes mellitus will usually not produce weight loss, as these patients get acutely ill before they would have had time to lose weight.</w:t>
      </w:r>
    </w:p>
    <w:p w:rsidR="00A60CEE" w:rsidRDefault="00A60CEE" w:rsidP="00E13FB9">
      <w:pPr>
        <w:pStyle w:val="NormalWeb"/>
        <w:shd w:val="clear" w:color="auto" w:fill="F8FCFF"/>
        <w:jc w:val="both"/>
      </w:pPr>
      <w:r>
        <w:t xml:space="preserve">Myriad additional scientific considerations are applicable to weight loss: physiological and exercise sciences, </w:t>
      </w:r>
      <w:hyperlink r:id="rId41" w:tooltip="Nutrition" w:history="1">
        <w:r>
          <w:rPr>
            <w:rStyle w:val="Hyperlink"/>
          </w:rPr>
          <w:t>nutrition</w:t>
        </w:r>
      </w:hyperlink>
      <w:r>
        <w:t xml:space="preserve"> science, </w:t>
      </w:r>
      <w:hyperlink r:id="rId42" w:tooltip="Behavioral sciences" w:history="1">
        <w:r>
          <w:rPr>
            <w:rStyle w:val="Hyperlink"/>
          </w:rPr>
          <w:t>behavioral sciences</w:t>
        </w:r>
      </w:hyperlink>
      <w:r>
        <w:t>, and other sciences.</w:t>
      </w:r>
    </w:p>
    <w:p w:rsidR="00A60CEE" w:rsidRDefault="00A60CEE" w:rsidP="00E13FB9">
      <w:pPr>
        <w:pStyle w:val="NormalWeb"/>
        <w:shd w:val="clear" w:color="auto" w:fill="F8FCFF"/>
        <w:jc w:val="both"/>
      </w:pPr>
      <w:r>
        <w:t xml:space="preserve">One area involves the science of </w:t>
      </w:r>
      <w:hyperlink r:id="rId43" w:tooltip="Bioenergetics" w:history="1">
        <w:r>
          <w:rPr>
            <w:rStyle w:val="Hyperlink"/>
          </w:rPr>
          <w:t>bioenergetics</w:t>
        </w:r>
      </w:hyperlink>
      <w:r>
        <w:t xml:space="preserve"> including biochemical and </w:t>
      </w:r>
      <w:hyperlink r:id="rId44" w:tooltip="Physiological" w:history="1">
        <w:r>
          <w:rPr>
            <w:rStyle w:val="Hyperlink"/>
          </w:rPr>
          <w:t>physiological</w:t>
        </w:r>
      </w:hyperlink>
      <w:r>
        <w:t xml:space="preserve"> energy production and utilization systems, that is frequently evidence of diabetes, and </w:t>
      </w:r>
      <w:hyperlink r:id="rId45" w:tooltip="Ketone bodies" w:history="1">
        <w:r>
          <w:rPr>
            <w:rStyle w:val="Hyperlink"/>
          </w:rPr>
          <w:t>ketone bodies</w:t>
        </w:r>
      </w:hyperlink>
      <w:r>
        <w:t xml:space="preserve">, acetone particles occurring in body fluids and tissues involved in </w:t>
      </w:r>
      <w:hyperlink r:id="rId46" w:tooltip="Acidosis" w:history="1">
        <w:r>
          <w:rPr>
            <w:rStyle w:val="Hyperlink"/>
          </w:rPr>
          <w:t>acidosis</w:t>
        </w:r>
      </w:hyperlink>
      <w:r>
        <w:t xml:space="preserve">, also known as </w:t>
      </w:r>
      <w:hyperlink r:id="rId47" w:tooltip="Ketosis" w:history="1">
        <w:r>
          <w:rPr>
            <w:rStyle w:val="Hyperlink"/>
          </w:rPr>
          <w:t>ketosis</w:t>
        </w:r>
      </w:hyperlink>
      <w:r>
        <w:t>, somewhat common in severe diabetes.</w:t>
      </w:r>
    </w:p>
    <w:p w:rsidR="00A60CEE" w:rsidRDefault="00A60CEE" w:rsidP="00E13FB9">
      <w:pPr>
        <w:pStyle w:val="NormalWeb"/>
        <w:shd w:val="clear" w:color="auto" w:fill="F8FCFF"/>
        <w:jc w:val="both"/>
      </w:pPr>
      <w:r>
        <w:t xml:space="preserve">In addition to weight loss due to a reduction in fat and lean mass, illnesses such as diabetes, certain medications, lack of fluid intake and other factors can trigger fluid loss. And fluid loss in addition to a reduction in fat and lean mass exacerbates the risk for </w:t>
      </w:r>
      <w:hyperlink r:id="rId48" w:tooltip="Cachexia" w:history="1">
        <w:r>
          <w:rPr>
            <w:rStyle w:val="Hyperlink"/>
          </w:rPr>
          <w:t>cachexia</w:t>
        </w:r>
      </w:hyperlink>
      <w:r>
        <w:t>.</w:t>
      </w:r>
    </w:p>
    <w:p w:rsidR="00A60CEE" w:rsidRDefault="00A60CEE" w:rsidP="00E13FB9">
      <w:pPr>
        <w:pStyle w:val="NormalWeb"/>
        <w:shd w:val="clear" w:color="auto" w:fill="F8FCFF"/>
        <w:jc w:val="both"/>
      </w:pPr>
      <w:r>
        <w:t xml:space="preserve">Infections such as </w:t>
      </w:r>
      <w:hyperlink r:id="rId49" w:tooltip="HIV" w:history="1">
        <w:r>
          <w:rPr>
            <w:rStyle w:val="Hyperlink"/>
          </w:rPr>
          <w:t>HIV</w:t>
        </w:r>
      </w:hyperlink>
      <w:r>
        <w:t xml:space="preserve"> may alter metabolism, leading to weight loss.</w:t>
      </w:r>
      <w:hyperlink r:id="rId50" w:anchor="cite_note-0" w:history="1">
        <w:r>
          <w:rPr>
            <w:color w:val="0000FF"/>
            <w:u w:val="single"/>
            <w:vertAlign w:val="superscript"/>
          </w:rPr>
          <w:t>[1]</w:t>
        </w:r>
      </w:hyperlink>
    </w:p>
    <w:p w:rsidR="00A60CEE" w:rsidRDefault="00A60CEE" w:rsidP="00E13FB9">
      <w:pPr>
        <w:pStyle w:val="NormalWeb"/>
        <w:shd w:val="clear" w:color="auto" w:fill="F8FCFF"/>
        <w:jc w:val="both"/>
      </w:pPr>
      <w:r>
        <w:t>Hormonal disruptions, such as an overactive thyroid (</w:t>
      </w:r>
      <w:hyperlink r:id="rId51" w:tooltip="Hyperthyroidism" w:history="1">
        <w:r>
          <w:rPr>
            <w:rStyle w:val="Hyperlink"/>
          </w:rPr>
          <w:t>hyperthyroidism</w:t>
        </w:r>
      </w:hyperlink>
      <w:r>
        <w:t>), may also exhibit as weight loss.</w:t>
      </w:r>
      <w:hyperlink r:id="rId52" w:anchor="cite_note-1" w:history="1">
        <w:r>
          <w:rPr>
            <w:color w:val="0000FF"/>
            <w:u w:val="single"/>
            <w:vertAlign w:val="superscript"/>
          </w:rPr>
          <w:t>[2]</w:t>
        </w:r>
      </w:hyperlink>
    </w:p>
    <w:p w:rsidR="00A60CEE" w:rsidRDefault="00A60CEE" w:rsidP="00E13FB9">
      <w:pPr>
        <w:pStyle w:val="NormalWeb"/>
        <w:shd w:val="clear" w:color="auto" w:fill="F8FCFF"/>
        <w:jc w:val="both"/>
      </w:pPr>
      <w:r>
        <w:t xml:space="preserve">Recent research has shown </w:t>
      </w:r>
      <w:hyperlink r:id="rId53" w:tooltip="Fidgeting" w:history="1">
        <w:r>
          <w:rPr>
            <w:rStyle w:val="Hyperlink"/>
          </w:rPr>
          <w:t>fidgeting</w:t>
        </w:r>
      </w:hyperlink>
      <w:r>
        <w:t xml:space="preserve"> to result in significant weight loss. </w:t>
      </w:r>
      <w:hyperlink r:id="rId54" w:anchor="cite_note-2" w:history="1">
        <w:r>
          <w:rPr>
            <w:color w:val="0000FF"/>
            <w:u w:val="single"/>
            <w:vertAlign w:val="superscript"/>
          </w:rPr>
          <w:t>[3]</w:t>
        </w:r>
      </w:hyperlink>
    </w:p>
    <w:p w:rsidR="00A60CEE" w:rsidRDefault="00A60CEE" w:rsidP="00E13FB9">
      <w:pPr>
        <w:pStyle w:val="Heading2"/>
        <w:shd w:val="clear" w:color="auto" w:fill="F8FCFF"/>
        <w:jc w:val="both"/>
      </w:pPr>
      <w:bookmarkStart w:id="8" w:name="Intentional_weight_loss"/>
      <w:bookmarkEnd w:id="8"/>
      <w:r>
        <w:rPr>
          <w:rStyle w:val="editsection"/>
        </w:rPr>
        <w:t>[</w:t>
      </w:r>
      <w:hyperlink r:id="rId55" w:tooltip="Edit section: Intentional weight loss" w:history="1">
        <w:r>
          <w:rPr>
            <w:rStyle w:val="Hyperlink"/>
          </w:rPr>
          <w:t>edit</w:t>
        </w:r>
      </w:hyperlink>
      <w:r>
        <w:rPr>
          <w:rStyle w:val="editsection"/>
        </w:rPr>
        <w:t>]</w:t>
      </w:r>
      <w:r>
        <w:t xml:space="preserve"> </w:t>
      </w:r>
      <w:r>
        <w:rPr>
          <w:rStyle w:val="mw-headline"/>
        </w:rPr>
        <w:t>Intentional weight loss</w:t>
      </w:r>
    </w:p>
    <w:p w:rsidR="00A60CEE" w:rsidRDefault="00A60CEE" w:rsidP="00E13FB9">
      <w:pPr>
        <w:pStyle w:val="NormalWeb"/>
        <w:shd w:val="clear" w:color="auto" w:fill="F8FCFF"/>
        <w:jc w:val="both"/>
      </w:pPr>
      <w:r>
        <w:t>Weight loss refers to the loss of total body mass in an effort to improve fitness, health, and/or appearance.</w:t>
      </w:r>
    </w:p>
    <w:p w:rsidR="00A60CEE" w:rsidRDefault="00A60CEE" w:rsidP="00E13FB9">
      <w:pPr>
        <w:pStyle w:val="NormalWeb"/>
        <w:shd w:val="clear" w:color="auto" w:fill="F8FCFF"/>
        <w:jc w:val="both"/>
      </w:pPr>
      <w:r>
        <w:t xml:space="preserve">Therapeutic weight loss, in individuals who are </w:t>
      </w:r>
      <w:hyperlink r:id="rId56" w:tooltip="Overweight" w:history="1">
        <w:r>
          <w:rPr>
            <w:rStyle w:val="Hyperlink"/>
          </w:rPr>
          <w:t>overweight</w:t>
        </w:r>
      </w:hyperlink>
      <w:r>
        <w:t xml:space="preserve"> or </w:t>
      </w:r>
      <w:hyperlink r:id="rId57" w:tooltip="Obese" w:history="1">
        <w:r>
          <w:rPr>
            <w:rStyle w:val="Hyperlink"/>
          </w:rPr>
          <w:t>obese</w:t>
        </w:r>
      </w:hyperlink>
      <w:r>
        <w:t xml:space="preserve">, can decrease the likelihood of developing diseases such as </w:t>
      </w:r>
      <w:hyperlink r:id="rId58" w:tooltip="Diabetes" w:history="1">
        <w:r>
          <w:rPr>
            <w:rStyle w:val="Hyperlink"/>
          </w:rPr>
          <w:t>diabetes</w:t>
        </w:r>
      </w:hyperlink>
      <w:r>
        <w:t>,</w:t>
      </w:r>
      <w:hyperlink r:id="rId59" w:anchor="cite_note-3" w:history="1">
        <w:r>
          <w:rPr>
            <w:color w:val="0000FF"/>
            <w:u w:val="single"/>
            <w:vertAlign w:val="superscript"/>
          </w:rPr>
          <w:t>[4]</w:t>
        </w:r>
      </w:hyperlink>
      <w:r>
        <w:t xml:space="preserve"> </w:t>
      </w:r>
      <w:hyperlink r:id="rId60" w:tooltip="Heart disease" w:history="1">
        <w:r>
          <w:rPr>
            <w:rStyle w:val="Hyperlink"/>
          </w:rPr>
          <w:t>heart disease</w:t>
        </w:r>
      </w:hyperlink>
      <w:r>
        <w:t xml:space="preserve">, high blood pressure, </w:t>
      </w:r>
      <w:hyperlink r:id="rId61" w:tooltip="Stroke" w:history="1">
        <w:r>
          <w:rPr>
            <w:rStyle w:val="Hyperlink"/>
          </w:rPr>
          <w:t>stroke</w:t>
        </w:r>
      </w:hyperlink>
      <w:r>
        <w:t xml:space="preserve">, </w:t>
      </w:r>
      <w:hyperlink r:id="rId62" w:tooltip="Osteoarthritis" w:history="1">
        <w:r>
          <w:rPr>
            <w:rStyle w:val="Hyperlink"/>
          </w:rPr>
          <w:t>osteoarthritis</w:t>
        </w:r>
      </w:hyperlink>
      <w:r>
        <w:t>,</w:t>
      </w:r>
      <w:hyperlink r:id="rId63" w:anchor="cite_note-4" w:history="1">
        <w:r>
          <w:rPr>
            <w:color w:val="0000FF"/>
            <w:u w:val="single"/>
            <w:vertAlign w:val="superscript"/>
          </w:rPr>
          <w:t>[5]</w:t>
        </w:r>
      </w:hyperlink>
      <w:r>
        <w:t xml:space="preserve"> and certain types of </w:t>
      </w:r>
      <w:hyperlink r:id="rId64" w:tooltip="Cancer" w:history="1">
        <w:r>
          <w:rPr>
            <w:rStyle w:val="Hyperlink"/>
          </w:rPr>
          <w:t>cancer</w:t>
        </w:r>
      </w:hyperlink>
      <w:r>
        <w:t>.</w:t>
      </w:r>
    </w:p>
    <w:p w:rsidR="00A60CEE" w:rsidRDefault="00A60CEE" w:rsidP="00E13FB9">
      <w:pPr>
        <w:pStyle w:val="NormalWeb"/>
        <w:shd w:val="clear" w:color="auto" w:fill="F8FCFF"/>
        <w:jc w:val="both"/>
      </w:pPr>
      <w:r>
        <w:lastRenderedPageBreak/>
        <w:t xml:space="preserve">Weight loss occurs when an individual is in a state of negative energy balance. When the human body is spending more </w:t>
      </w:r>
      <w:hyperlink r:id="rId65" w:tooltip="Energy" w:history="1">
        <w:r>
          <w:rPr>
            <w:rStyle w:val="Hyperlink"/>
          </w:rPr>
          <w:t>energy</w:t>
        </w:r>
      </w:hyperlink>
      <w:r>
        <w:t xml:space="preserve"> in </w:t>
      </w:r>
      <w:hyperlink r:id="rId66" w:tooltip="Mechanical work" w:history="1">
        <w:r>
          <w:rPr>
            <w:rStyle w:val="Hyperlink"/>
          </w:rPr>
          <w:t>work</w:t>
        </w:r>
      </w:hyperlink>
      <w:r>
        <w:t xml:space="preserve"> and </w:t>
      </w:r>
      <w:hyperlink r:id="rId67" w:tooltip="Heat" w:history="1">
        <w:r>
          <w:rPr>
            <w:rStyle w:val="Hyperlink"/>
          </w:rPr>
          <w:t>heat</w:t>
        </w:r>
      </w:hyperlink>
      <w:r>
        <w:t xml:space="preserve"> than it is gaining from food or other nutritional supplements, it will use stored reserves of fat or muscle.</w:t>
      </w:r>
    </w:p>
    <w:p w:rsidR="00A60CEE" w:rsidRDefault="00A60CEE" w:rsidP="00E13FB9">
      <w:pPr>
        <w:pStyle w:val="NormalWeb"/>
        <w:shd w:val="clear" w:color="auto" w:fill="F8FCFF"/>
        <w:jc w:val="both"/>
      </w:pPr>
      <w:r>
        <w:t xml:space="preserve">It is not uncommon for some people who are currently at their ideal body weight to seek additional weight loss </w:t>
      </w:r>
      <w:hyperlink r:id="rId68" w:anchor="cite_note-5" w:history="1">
        <w:r>
          <w:rPr>
            <w:color w:val="0000FF"/>
            <w:u w:val="single"/>
            <w:vertAlign w:val="superscript"/>
          </w:rPr>
          <w:t>[6]</w:t>
        </w:r>
      </w:hyperlink>
      <w:r>
        <w:t xml:space="preserve"> in order to improve athletic performance, and/or meet required weight classification for participation in a sport. However, others may be driven by achieving a more attractive body image </w:t>
      </w:r>
      <w:hyperlink r:id="rId69" w:anchor="cite_note-6" w:history="1">
        <w:r>
          <w:rPr>
            <w:color w:val="0000FF"/>
            <w:u w:val="single"/>
            <w:vertAlign w:val="superscript"/>
          </w:rPr>
          <w:t>[7]</w:t>
        </w:r>
      </w:hyperlink>
      <w:r>
        <w:t xml:space="preserve">. Consequently, being </w:t>
      </w:r>
      <w:hyperlink r:id="rId70" w:tooltip="Underweight" w:history="1">
        <w:r>
          <w:rPr>
            <w:rStyle w:val="Hyperlink"/>
          </w:rPr>
          <w:t>underweight</w:t>
        </w:r>
      </w:hyperlink>
      <w:r>
        <w:t xml:space="preserve"> is associated with health risks such as difficulty fighting off infection, osteoporosis, decreased muscle strength, trouble regulating body temperature and even increased risk of death.</w:t>
      </w:r>
      <w:hyperlink r:id="rId71" w:anchor="cite_note-7" w:history="1">
        <w:r>
          <w:rPr>
            <w:color w:val="0000FF"/>
            <w:u w:val="single"/>
            <w:vertAlign w:val="superscript"/>
          </w:rPr>
          <w:t>[8]</w:t>
        </w:r>
      </w:hyperlink>
    </w:p>
    <w:p w:rsidR="00A60CEE" w:rsidRDefault="00A60CEE" w:rsidP="00E13FB9">
      <w:pPr>
        <w:pStyle w:val="Heading3"/>
        <w:shd w:val="clear" w:color="auto" w:fill="F8FCFF"/>
        <w:jc w:val="both"/>
      </w:pPr>
      <w:bookmarkStart w:id="9" w:name="Therapeutic_weight_loss_techniques"/>
      <w:bookmarkEnd w:id="9"/>
      <w:r>
        <w:rPr>
          <w:rStyle w:val="editsection"/>
        </w:rPr>
        <w:t>[</w:t>
      </w:r>
      <w:hyperlink r:id="rId72" w:tooltip="Edit section: Therapeutic weight loss techniques" w:history="1">
        <w:r>
          <w:rPr>
            <w:rStyle w:val="Hyperlink"/>
          </w:rPr>
          <w:t>edit</w:t>
        </w:r>
      </w:hyperlink>
      <w:r>
        <w:rPr>
          <w:rStyle w:val="editsection"/>
        </w:rPr>
        <w:t>]</w:t>
      </w:r>
      <w:r>
        <w:t xml:space="preserve"> </w:t>
      </w:r>
      <w:r>
        <w:rPr>
          <w:rStyle w:val="mw-headline"/>
        </w:rPr>
        <w:t>Therapeutic weight loss techniques</w:t>
      </w:r>
    </w:p>
    <w:p w:rsidR="00A60CEE" w:rsidRDefault="00A60CEE" w:rsidP="00E13FB9">
      <w:pPr>
        <w:shd w:val="clear" w:color="auto" w:fill="F8FCFF"/>
        <w:ind w:left="720"/>
        <w:jc w:val="both"/>
      </w:pPr>
      <w:r>
        <w:rPr>
          <w:rStyle w:val="boilerplate"/>
          <w:i/>
          <w:iCs/>
        </w:rPr>
        <w:t xml:space="preserve">See also: </w:t>
      </w:r>
      <w:hyperlink r:id="rId73" w:anchor="Management" w:tooltip="Obesity" w:history="1">
        <w:r>
          <w:rPr>
            <w:rStyle w:val="Hyperlink"/>
            <w:i/>
            <w:iCs/>
          </w:rPr>
          <w:t>Obesity#Management</w:t>
        </w:r>
      </w:hyperlink>
      <w:r>
        <w:rPr>
          <w:rStyle w:val="boilerplate"/>
          <w:i/>
          <w:iCs/>
        </w:rPr>
        <w:t xml:space="preserve"> and </w:t>
      </w:r>
      <w:hyperlink r:id="rId74" w:tooltip="Bariatrics" w:history="1">
        <w:r>
          <w:rPr>
            <w:rStyle w:val="Hyperlink"/>
            <w:i/>
            <w:iCs/>
          </w:rPr>
          <w:t>Bariatrics</w:t>
        </w:r>
      </w:hyperlink>
      <w:r>
        <w:t xml:space="preserve"> </w:t>
      </w:r>
    </w:p>
    <w:p w:rsidR="00A60CEE" w:rsidRDefault="00A60CEE" w:rsidP="00E13FB9">
      <w:pPr>
        <w:pStyle w:val="NormalWeb"/>
        <w:shd w:val="clear" w:color="auto" w:fill="F8FCFF"/>
        <w:jc w:val="both"/>
      </w:pPr>
      <w:r>
        <w:t xml:space="preserve">The least intrusive weight loss methods, and those most often recommended by physicians, are adjustments to eating patterns and increased physical </w:t>
      </w:r>
      <w:hyperlink r:id="rId75" w:tooltip="Exercise" w:history="1">
        <w:r>
          <w:rPr>
            <w:rStyle w:val="Hyperlink"/>
          </w:rPr>
          <w:t>exercise</w:t>
        </w:r>
      </w:hyperlink>
      <w:r>
        <w:t>. Physicians will usually recommend that their overweight patients combine a reduction of processed</w:t>
      </w:r>
      <w:hyperlink r:id="rId76" w:anchor="cite_note-8" w:history="1">
        <w:r>
          <w:rPr>
            <w:color w:val="0000FF"/>
            <w:u w:val="single"/>
            <w:vertAlign w:val="superscript"/>
          </w:rPr>
          <w:t>[9]</w:t>
        </w:r>
      </w:hyperlink>
      <w:r>
        <w:t xml:space="preserve"> and </w:t>
      </w:r>
      <w:hyperlink r:id="rId77" w:tooltip="Calorie" w:history="1">
        <w:r>
          <w:rPr>
            <w:rStyle w:val="Hyperlink"/>
          </w:rPr>
          <w:t>caloric</w:t>
        </w:r>
      </w:hyperlink>
      <w:r>
        <w:t xml:space="preserve"> content of the diet with an increase in physical activity.</w:t>
      </w:r>
      <w:hyperlink r:id="rId78" w:anchor="cite_note-9" w:history="1">
        <w:r>
          <w:rPr>
            <w:color w:val="0000FF"/>
            <w:u w:val="single"/>
            <w:vertAlign w:val="superscript"/>
          </w:rPr>
          <w:t>[10]</w:t>
        </w:r>
      </w:hyperlink>
    </w:p>
    <w:p w:rsidR="00A60CEE" w:rsidRDefault="00A60CEE" w:rsidP="00E13FB9">
      <w:pPr>
        <w:pStyle w:val="NormalWeb"/>
        <w:shd w:val="clear" w:color="auto" w:fill="F8FCFF"/>
        <w:jc w:val="both"/>
      </w:pPr>
      <w:r>
        <w:t xml:space="preserve">Other methods of losing weight include use of </w:t>
      </w:r>
      <w:hyperlink r:id="rId79" w:tooltip="Medication" w:history="1">
        <w:r>
          <w:rPr>
            <w:rStyle w:val="Hyperlink"/>
          </w:rPr>
          <w:t>drugs</w:t>
        </w:r>
      </w:hyperlink>
      <w:r>
        <w:t xml:space="preserve"> and </w:t>
      </w:r>
      <w:hyperlink r:id="rId80" w:tooltip="Dietary supplement" w:history="1">
        <w:r>
          <w:rPr>
            <w:rStyle w:val="Hyperlink"/>
          </w:rPr>
          <w:t>supplements</w:t>
        </w:r>
      </w:hyperlink>
      <w:r>
        <w:t xml:space="preserve"> that decrease </w:t>
      </w:r>
      <w:hyperlink r:id="rId81" w:tooltip="Appetite" w:history="1">
        <w:r>
          <w:rPr>
            <w:rStyle w:val="Hyperlink"/>
          </w:rPr>
          <w:t>appetite</w:t>
        </w:r>
      </w:hyperlink>
      <w:r>
        <w:t xml:space="preserve">, block </w:t>
      </w:r>
      <w:hyperlink r:id="rId82" w:tooltip="Fat" w:history="1">
        <w:r>
          <w:rPr>
            <w:rStyle w:val="Hyperlink"/>
          </w:rPr>
          <w:t>fat</w:t>
        </w:r>
      </w:hyperlink>
      <w:r>
        <w:t xml:space="preserve"> absorption, or reduce stomach volume. Medicines with herbs such as </w:t>
      </w:r>
      <w:hyperlink r:id="rId83" w:tooltip="Fucus vesiculosus" w:history="1">
        <w:r>
          <w:rPr>
            <w:rStyle w:val="Hyperlink"/>
          </w:rPr>
          <w:t>Fucus vesiculosus</w:t>
        </w:r>
      </w:hyperlink>
      <w:r>
        <w:t xml:space="preserve"> are popular.</w:t>
      </w:r>
      <w:hyperlink r:id="rId84" w:anchor="cite_note-10" w:history="1">
        <w:r>
          <w:rPr>
            <w:color w:val="0000FF"/>
            <w:u w:val="single"/>
            <w:vertAlign w:val="superscript"/>
          </w:rPr>
          <w:t>[11]</w:t>
        </w:r>
      </w:hyperlink>
      <w:r>
        <w:t xml:space="preserve"> Finally, </w:t>
      </w:r>
      <w:hyperlink r:id="rId85" w:tooltip="Surgery" w:history="1">
        <w:r>
          <w:rPr>
            <w:rStyle w:val="Hyperlink"/>
          </w:rPr>
          <w:t>surgery</w:t>
        </w:r>
      </w:hyperlink>
      <w:r>
        <w:t xml:space="preserve"> may be used in more severe cases. Bariatric surgery artificially reduces the size of the stomach, limiting the intake of </w:t>
      </w:r>
      <w:hyperlink r:id="rId86" w:tooltip="Food energy" w:history="1">
        <w:r>
          <w:rPr>
            <w:rStyle w:val="Hyperlink"/>
          </w:rPr>
          <w:t>food energy</w:t>
        </w:r>
      </w:hyperlink>
      <w:r>
        <w:t>.</w:t>
      </w:r>
    </w:p>
    <w:p w:rsidR="00A60CEE" w:rsidRDefault="00A60CEE" w:rsidP="00E13FB9">
      <w:pPr>
        <w:pStyle w:val="Heading3"/>
        <w:shd w:val="clear" w:color="auto" w:fill="F8FCFF"/>
        <w:jc w:val="both"/>
      </w:pPr>
      <w:bookmarkStart w:id="10" w:name="Crash_dieting"/>
      <w:bookmarkEnd w:id="10"/>
      <w:r>
        <w:rPr>
          <w:rStyle w:val="editsection"/>
        </w:rPr>
        <w:t>[</w:t>
      </w:r>
      <w:hyperlink r:id="rId87" w:tooltip="Edit section: Crash dieting" w:history="1">
        <w:r>
          <w:rPr>
            <w:rStyle w:val="Hyperlink"/>
          </w:rPr>
          <w:t>edit</w:t>
        </w:r>
      </w:hyperlink>
      <w:r>
        <w:rPr>
          <w:rStyle w:val="editsection"/>
        </w:rPr>
        <w:t>]</w:t>
      </w:r>
      <w:r>
        <w:t xml:space="preserve"> </w:t>
      </w:r>
      <w:r>
        <w:rPr>
          <w:rStyle w:val="mw-headline"/>
        </w:rPr>
        <w:t>Crash dieting</w:t>
      </w:r>
    </w:p>
    <w:p w:rsidR="00A60CEE" w:rsidRDefault="00A60CEE" w:rsidP="00E13FB9">
      <w:pPr>
        <w:pStyle w:val="NormalWeb"/>
        <w:shd w:val="clear" w:color="auto" w:fill="F8FCFF"/>
        <w:jc w:val="both"/>
      </w:pPr>
      <w:r>
        <w:t xml:space="preserve">A </w:t>
      </w:r>
      <w:hyperlink r:id="rId88" w:tooltip="Crash diet" w:history="1">
        <w:r>
          <w:rPr>
            <w:rStyle w:val="Hyperlink"/>
          </w:rPr>
          <w:t>crash diet</w:t>
        </w:r>
      </w:hyperlink>
      <w:r>
        <w:t xml:space="preserve"> is where a person willfully restricts themselves of all nourishment (except water) for more than 12 hours. The desired result is to have the body burn fat for energy with the goal of losing a significant amount of weight in a short time. Crash dieting is not the same as </w:t>
      </w:r>
      <w:hyperlink r:id="rId89" w:tooltip="Intermittent fasting" w:history="1">
        <w:r>
          <w:rPr>
            <w:rStyle w:val="Hyperlink"/>
          </w:rPr>
          <w:t>intermittent fasting</w:t>
        </w:r>
      </w:hyperlink>
      <w:r>
        <w:t>, in which the individual periodically abstains from food (e.g., every other day).</w:t>
      </w:r>
    </w:p>
    <w:p w:rsidR="00A60CEE" w:rsidRDefault="00A60CEE" w:rsidP="00E13FB9">
      <w:pPr>
        <w:pStyle w:val="Heading3"/>
        <w:shd w:val="clear" w:color="auto" w:fill="F8FCFF"/>
        <w:jc w:val="both"/>
      </w:pPr>
      <w:bookmarkStart w:id="11" w:name="Weight_loss_industry"/>
      <w:bookmarkEnd w:id="11"/>
      <w:r>
        <w:rPr>
          <w:rStyle w:val="editsection"/>
        </w:rPr>
        <w:t>[</w:t>
      </w:r>
      <w:hyperlink r:id="rId90" w:tooltip="Edit section: Weight loss industry" w:history="1">
        <w:r>
          <w:rPr>
            <w:rStyle w:val="Hyperlink"/>
          </w:rPr>
          <w:t>edit</w:t>
        </w:r>
      </w:hyperlink>
      <w:r>
        <w:rPr>
          <w:rStyle w:val="editsection"/>
        </w:rPr>
        <w:t>]</w:t>
      </w:r>
      <w:r>
        <w:t xml:space="preserve"> </w:t>
      </w:r>
      <w:r>
        <w:rPr>
          <w:rStyle w:val="mw-headline"/>
        </w:rPr>
        <w:t>Weight loss industry</w:t>
      </w:r>
    </w:p>
    <w:p w:rsidR="00A60CEE" w:rsidRDefault="00A60CEE" w:rsidP="00E13FB9">
      <w:pPr>
        <w:pStyle w:val="NormalWeb"/>
        <w:shd w:val="clear" w:color="auto" w:fill="F8FCFF"/>
        <w:jc w:val="both"/>
      </w:pPr>
      <w:r>
        <w:t>There is a substantial market for products which promise to make weight loss easier, quicker, cheaper, more reliable, or less painful. These include books, CDs, cremes, lotions, pills, rings and earrings, body wraps, body belts and other materials, not to mention fitness centers, personal coaches, weight loss groups, and food products and supplements. US residents in 1992 spent an estimated $30 billion a year on all types of diet programs and products, including diet foods and drinks.</w:t>
      </w:r>
      <w:hyperlink r:id="rId91" w:anchor="cite_note-11" w:history="1">
        <w:r>
          <w:rPr>
            <w:color w:val="0000FF"/>
            <w:u w:val="single"/>
            <w:vertAlign w:val="superscript"/>
          </w:rPr>
          <w:t>[12]</w:t>
        </w:r>
      </w:hyperlink>
    </w:p>
    <w:p w:rsidR="00A60CEE" w:rsidRDefault="00A60CEE" w:rsidP="00E13FB9">
      <w:pPr>
        <w:pStyle w:val="NormalWeb"/>
        <w:pBdr>
          <w:bottom w:val="dotted" w:sz="24" w:space="1" w:color="auto"/>
        </w:pBdr>
        <w:shd w:val="clear" w:color="auto" w:fill="F8FCFF"/>
        <w:jc w:val="both"/>
      </w:pPr>
      <w:r>
        <w:t>Between $33 billion and $55 billion is spent annually on weight loss products and services, including medical procedures and pharmaceuticals, with weight loss centers garnering between 6 percent and 12 percent of total annual expenditure. About 70 percent of Americans' dieting attempts are of a self-help nature. Although often short-lived, these diet fads are a positive trend for this sector as Americans ultimately turn to professionals to help them meet their weight loss goals.</w:t>
      </w:r>
      <w:hyperlink r:id="rId92" w:anchor="cite_note-12" w:history="1">
        <w:r>
          <w:rPr>
            <w:color w:val="0000FF"/>
            <w:u w:val="single"/>
            <w:vertAlign w:val="superscript"/>
          </w:rPr>
          <w:t>[13]</w:t>
        </w:r>
      </w:hyperlink>
    </w:p>
    <w:p w:rsidR="00A60CEE" w:rsidRDefault="00A60CEE" w:rsidP="00E13FB9">
      <w:pPr>
        <w:jc w:val="both"/>
      </w:pPr>
      <w:r>
        <w:rPr>
          <w:sz w:val="20"/>
          <w:szCs w:val="20"/>
        </w:rPr>
        <w:t>The Journal of Clinical Endocrinology &amp; Metabolism Vol. 92, No. 2 583-588</w:t>
      </w:r>
      <w:r>
        <w:rPr>
          <w:sz w:val="20"/>
          <w:szCs w:val="20"/>
        </w:rPr>
        <w:br/>
        <w:t xml:space="preserve">Copyright © 2007 by The Endocrine Society </w:t>
      </w:r>
    </w:p>
    <w:p w:rsidR="00A60CEE" w:rsidRDefault="00A60CEE" w:rsidP="00E13FB9">
      <w:pPr>
        <w:pStyle w:val="Heading2"/>
        <w:jc w:val="both"/>
      </w:pPr>
      <w:r>
        <w:lastRenderedPageBreak/>
        <w:t>Effect of Human Body Weight Changes on Circulating Levels of Peptide YY and Peptide YY</w:t>
      </w:r>
      <w:r>
        <w:rPr>
          <w:vertAlign w:val="subscript"/>
        </w:rPr>
        <w:t>3–36</w:t>
      </w:r>
      <w:r>
        <w:t xml:space="preserve"> </w:t>
      </w:r>
    </w:p>
    <w:p w:rsidR="00A60CEE" w:rsidRDefault="00A60CEE" w:rsidP="00E13FB9">
      <w:pPr>
        <w:jc w:val="both"/>
      </w:pPr>
      <w:r>
        <w:rPr>
          <w:rStyle w:val="Strong"/>
        </w:rPr>
        <w:t>P. T. Pfluger</w:t>
      </w:r>
      <w:bookmarkStart w:id="12" w:name="RFN1"/>
      <w:r w:rsidR="000F5824">
        <w:rPr>
          <w:rStyle w:val="Strong"/>
          <w:vertAlign w:val="superscript"/>
        </w:rPr>
        <w:fldChar w:fldCharType="begin"/>
      </w:r>
      <w:r>
        <w:rPr>
          <w:rStyle w:val="Strong"/>
          <w:vertAlign w:val="superscript"/>
        </w:rPr>
        <w:instrText xml:space="preserve"> HYPERLINK "http://jcem.endojournals.org/cgi/content/full/92/2/583" \l "FN1" </w:instrText>
      </w:r>
      <w:r w:rsidR="000F5824">
        <w:rPr>
          <w:rStyle w:val="Strong"/>
          <w:vertAlign w:val="superscript"/>
        </w:rPr>
        <w:fldChar w:fldCharType="separate"/>
      </w:r>
      <w:r>
        <w:rPr>
          <w:rStyle w:val="Hyperlink"/>
          <w:b/>
          <w:bCs/>
          <w:vertAlign w:val="superscript"/>
        </w:rPr>
        <w:t>1</w:t>
      </w:r>
      <w:r w:rsidR="000F5824">
        <w:rPr>
          <w:rStyle w:val="Strong"/>
          <w:vertAlign w:val="superscript"/>
        </w:rPr>
        <w:fldChar w:fldCharType="end"/>
      </w:r>
      <w:r>
        <w:rPr>
          <w:rStyle w:val="Strong"/>
        </w:rPr>
        <w:t>, J. Kampe</w:t>
      </w:r>
      <w:bookmarkEnd w:id="12"/>
      <w:r w:rsidR="000F5824">
        <w:rPr>
          <w:rStyle w:val="Strong"/>
          <w:vertAlign w:val="superscript"/>
        </w:rPr>
        <w:fldChar w:fldCharType="begin"/>
      </w:r>
      <w:r>
        <w:rPr>
          <w:rStyle w:val="Strong"/>
          <w:vertAlign w:val="superscript"/>
        </w:rPr>
        <w:instrText xml:space="preserve"> HYPERLINK "http://jcem.endojournals.org/cgi/content/full/92/2/583" \l "FN1" </w:instrText>
      </w:r>
      <w:r w:rsidR="000F5824">
        <w:rPr>
          <w:rStyle w:val="Strong"/>
          <w:vertAlign w:val="superscript"/>
        </w:rPr>
        <w:fldChar w:fldCharType="separate"/>
      </w:r>
      <w:r>
        <w:rPr>
          <w:rStyle w:val="Hyperlink"/>
          <w:b/>
          <w:bCs/>
          <w:vertAlign w:val="superscript"/>
        </w:rPr>
        <w:t>1</w:t>
      </w:r>
      <w:r w:rsidR="000F5824">
        <w:rPr>
          <w:rStyle w:val="Strong"/>
          <w:vertAlign w:val="superscript"/>
        </w:rPr>
        <w:fldChar w:fldCharType="end"/>
      </w:r>
      <w:r>
        <w:rPr>
          <w:rStyle w:val="Strong"/>
        </w:rPr>
        <w:t xml:space="preserve">, T. R. Castaneda, T. Vahl, D. A. D’Alessio, T. Kruthaupt, S. C. Benoit, U. Cuntz, H. J. Rochlitz, M. Moehlig, A. F. H. Pfeiffer, C. Koebnick, M. O. Weickert, B. Otto, J. Spranger and M. H. Tschöp </w:t>
      </w:r>
    </w:p>
    <w:p w:rsidR="00A60CEE" w:rsidRDefault="00A60CEE" w:rsidP="00E13FB9">
      <w:pPr>
        <w:pStyle w:val="NormalWeb"/>
        <w:jc w:val="both"/>
      </w:pPr>
      <w:r>
        <w:rPr>
          <w:rStyle w:val="Emphasis"/>
        </w:rPr>
        <w:t xml:space="preserve">Departments of Psychiatry and Medicine (P.T.P., J.K., T.R.C., T.V., D.A.D., T.K., S.C.B., M.H.T.), Obesity Research Center, University of Cincinnati–Genome Research Institute, Cincinnati, Ohio 45237; Department of Physiology (J.K.), Monash University, Melbourne 3800, Australia; Center for Psychosomatic Medicine (U.C.), D-83209 Prien, Germany; German Institute of Human Nutrition (H.J.R., M.M., A.F.H.P., C.K., M.O.W., J.S.), 10551 Nuthetal, Germany; Department of Preventive Medicine (C.K.), University of Southern California, Los Angeles, California 90089; and Department of Gastroenterology (B.O.), University Hospital, D-81377 Munich, Germany </w:t>
      </w:r>
    </w:p>
    <w:p w:rsidR="00A60CEE" w:rsidRDefault="00A60CEE" w:rsidP="00E13FB9">
      <w:pPr>
        <w:pStyle w:val="NormalWeb"/>
        <w:jc w:val="both"/>
      </w:pPr>
      <w:r>
        <w:rPr>
          <w:sz w:val="20"/>
          <w:szCs w:val="20"/>
        </w:rPr>
        <w:t xml:space="preserve">Address all correspondence and requests for reprints to: Matthias H. Tschöp, M.D., Associate Professor, Departments of Psychiatry and Medicine, University of Cincinnati, Office E-217, Genome Research Institute, 2170 East Galbraith Road, Cincinnati, Ohio 45237. E-mail: </w:t>
      </w:r>
      <w:hyperlink r:id="rId93" w:history="1">
        <w:r>
          <w:rPr>
            <w:rStyle w:val="Hyperlink"/>
            <w:rFonts w:eastAsiaTheme="majorEastAsia"/>
            <w:sz w:val="20"/>
            <w:szCs w:val="20"/>
          </w:rPr>
          <w:t>tschoemh@ucmail.uc.edu</w:t>
        </w:r>
      </w:hyperlink>
      <w:r>
        <w:rPr>
          <w:sz w:val="20"/>
          <w:szCs w:val="20"/>
        </w:rPr>
        <w:t xml:space="preserve"> .</w:t>
      </w:r>
      <w:r>
        <w:t xml:space="preserve"> </w:t>
      </w:r>
    </w:p>
    <w:p w:rsidR="00A60CEE" w:rsidRDefault="00A60CEE" w:rsidP="00E13FB9">
      <w:pPr>
        <w:pStyle w:val="NormalWeb"/>
        <w:jc w:val="both"/>
      </w:pPr>
      <w:bookmarkStart w:id="13" w:name="ABS"/>
      <w:bookmarkEnd w:id="13"/>
      <w:r>
        <w:br w:type="textWrapping" w:clear="right"/>
      </w:r>
    </w:p>
    <w:tbl>
      <w:tblPr>
        <w:tblW w:w="5000" w:type="pct"/>
        <w:tblCellSpacing w:w="0" w:type="dxa"/>
        <w:shd w:val="clear" w:color="auto" w:fill="E1E1E1"/>
        <w:tblCellMar>
          <w:left w:w="0" w:type="dxa"/>
          <w:right w:w="0" w:type="dxa"/>
        </w:tblCellMar>
        <w:tblLook w:val="04A0"/>
      </w:tblPr>
      <w:tblGrid>
        <w:gridCol w:w="540"/>
        <w:gridCol w:w="10260"/>
      </w:tblGrid>
      <w:tr w:rsidR="00A60CEE" w:rsidTr="00A60CEE">
        <w:trPr>
          <w:tblCellSpacing w:w="0" w:type="dxa"/>
        </w:trPr>
        <w:tc>
          <w:tcPr>
            <w:tcW w:w="250" w:type="pct"/>
            <w:shd w:val="clear" w:color="auto" w:fill="FFFFFF"/>
            <w:vAlign w:val="center"/>
            <w:hideMark/>
          </w:tcPr>
          <w:p w:rsidR="00A60CEE" w:rsidRDefault="00A60CEE" w:rsidP="00E13FB9">
            <w:pPr>
              <w:jc w:val="both"/>
              <w:rPr>
                <w:sz w:val="24"/>
                <w:szCs w:val="24"/>
              </w:rPr>
            </w:pPr>
            <w:r>
              <w:rPr>
                <w:noProof/>
              </w:rPr>
              <w:drawing>
                <wp:inline distT="0" distB="0" distL="0" distR="0">
                  <wp:extent cx="95250" cy="200025"/>
                  <wp:effectExtent l="19050" t="0" r="0" b="0"/>
                  <wp:docPr id="58" name="Picture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
                          <pic:cNvPicPr>
                            <a:picLocks noChangeAspect="1" noChangeArrowheads="1"/>
                          </pic:cNvPicPr>
                        </pic:nvPicPr>
                        <pic:blipFill>
                          <a:blip r:embed="rId94"/>
                          <a:srcRect/>
                          <a:stretch>
                            <a:fillRect/>
                          </a:stretch>
                        </pic:blipFill>
                        <pic:spPr bwMode="auto">
                          <a:xfrm>
                            <a:off x="0" y="0"/>
                            <a:ext cx="95250" cy="200025"/>
                          </a:xfrm>
                          <a:prstGeom prst="rect">
                            <a:avLst/>
                          </a:prstGeom>
                          <a:noFill/>
                          <a:ln w="9525">
                            <a:noFill/>
                            <a:miter lim="800000"/>
                            <a:headEnd/>
                            <a:tailEnd/>
                          </a:ln>
                        </pic:spPr>
                      </pic:pic>
                    </a:graphicData>
                  </a:graphic>
                </wp:inline>
              </w:drawing>
            </w:r>
          </w:p>
        </w:tc>
        <w:tc>
          <w:tcPr>
            <w:tcW w:w="4750" w:type="pct"/>
            <w:shd w:val="clear" w:color="auto" w:fill="E1E1E1"/>
            <w:vAlign w:val="center"/>
            <w:hideMark/>
          </w:tcPr>
          <w:p w:rsidR="00A60CEE" w:rsidRDefault="00A60CEE" w:rsidP="00E13FB9">
            <w:pPr>
              <w:jc w:val="both"/>
              <w:rPr>
                <w:b/>
                <w:bCs/>
                <w:sz w:val="24"/>
                <w:szCs w:val="24"/>
              </w:rPr>
            </w:pPr>
            <w:r>
              <w:rPr>
                <w:b/>
                <w:bCs/>
                <w:sz w:val="36"/>
                <w:szCs w:val="36"/>
              </w:rPr>
              <w:t xml:space="preserve">   Abstract </w:t>
            </w:r>
          </w:p>
        </w:tc>
      </w:tr>
    </w:tbl>
    <w:tbl>
      <w:tblPr>
        <w:tblpPr w:leftFromText="45" w:rightFromText="45" w:vertAnchor="text" w:tblpXSpec="right" w:tblpYSpec="cente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46"/>
      </w:tblGrid>
      <w:tr w:rsidR="00A60CEE" w:rsidTr="00A60C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0CEE" w:rsidRDefault="00A60CEE" w:rsidP="00E13FB9">
            <w:pPr>
              <w:jc w:val="both"/>
              <w:rPr>
                <w:b/>
                <w:bCs/>
                <w:sz w:val="24"/>
                <w:szCs w:val="24"/>
              </w:rPr>
            </w:pPr>
          </w:p>
        </w:tc>
      </w:tr>
    </w:tbl>
    <w:p w:rsidR="00A60CEE" w:rsidRDefault="00A60CEE" w:rsidP="00E13FB9">
      <w:pPr>
        <w:pStyle w:val="NormalWeb"/>
        <w:jc w:val="both"/>
      </w:pPr>
      <w:r>
        <w:t> </w:t>
      </w:r>
      <w:r>
        <w:br/>
      </w:r>
      <w:r>
        <w:rPr>
          <w:b/>
          <w:bCs/>
        </w:rPr>
        <w:t>Background:</w:t>
      </w:r>
      <w:r>
        <w:t xml:space="preserve"> Recent findings suggest that low plasma peptide</w:t>
      </w:r>
      <w:r>
        <w:rPr>
          <w:vertAlign w:val="superscript"/>
        </w:rPr>
        <w:t xml:space="preserve"> </w:t>
      </w:r>
      <w:r>
        <w:t>YY (PYY) levels may contribute to diet-induced human obesity</w:t>
      </w:r>
      <w:r>
        <w:rPr>
          <w:vertAlign w:val="superscript"/>
        </w:rPr>
        <w:t xml:space="preserve"> </w:t>
      </w:r>
      <w:r>
        <w:t>and justify PYY replacement therapy. Although the pharmacological</w:t>
      </w:r>
      <w:r>
        <w:rPr>
          <w:vertAlign w:val="superscript"/>
        </w:rPr>
        <w:t xml:space="preserve"> </w:t>
      </w:r>
      <w:r>
        <w:t>value of PYY is controversial, further study of the secretion</w:t>
      </w:r>
      <w:r>
        <w:rPr>
          <w:vertAlign w:val="superscript"/>
        </w:rPr>
        <w:t xml:space="preserve"> </w:t>
      </w:r>
      <w:r>
        <w:t>of the precursor PYY</w:t>
      </w:r>
      <w:r>
        <w:rPr>
          <w:vertAlign w:val="subscript"/>
        </w:rPr>
        <w:t>1–36</w:t>
      </w:r>
      <w:r>
        <w:t xml:space="preserve"> and the pharmacologically active</w:t>
      </w:r>
      <w:r>
        <w:rPr>
          <w:vertAlign w:val="superscript"/>
        </w:rPr>
        <w:t xml:space="preserve"> </w:t>
      </w:r>
      <w:r>
        <w:t>PYY</w:t>
      </w:r>
      <w:r>
        <w:rPr>
          <w:vertAlign w:val="subscript"/>
        </w:rPr>
        <w:t>3–36</w:t>
      </w:r>
      <w:r>
        <w:t xml:space="preserve"> is indicated to determine the potential role in</w:t>
      </w:r>
      <w:r>
        <w:rPr>
          <w:vertAlign w:val="superscript"/>
        </w:rPr>
        <w:t xml:space="preserve"> </w:t>
      </w:r>
      <w:r>
        <w:t>energy balance regulation.</w:t>
      </w:r>
      <w:r>
        <w:rPr>
          <w:vertAlign w:val="superscript"/>
        </w:rPr>
        <w:t xml:space="preserve"> </w:t>
      </w:r>
    </w:p>
    <w:p w:rsidR="00A60CEE" w:rsidRDefault="00A60CEE" w:rsidP="00E13FB9">
      <w:pPr>
        <w:pStyle w:val="NormalWeb"/>
        <w:jc w:val="both"/>
      </w:pPr>
      <w:r>
        <w:rPr>
          <w:b/>
          <w:bCs/>
        </w:rPr>
        <w:t>Aim:</w:t>
      </w:r>
      <w:r>
        <w:t xml:space="preserve"> Our objective was to determine the effects of acute and</w:t>
      </w:r>
      <w:r>
        <w:rPr>
          <w:vertAlign w:val="superscript"/>
        </w:rPr>
        <w:t xml:space="preserve"> </w:t>
      </w:r>
      <w:r>
        <w:t>chronic changes in human body weight on circulating levels of</w:t>
      </w:r>
      <w:r>
        <w:rPr>
          <w:vertAlign w:val="superscript"/>
        </w:rPr>
        <w:t xml:space="preserve"> </w:t>
      </w:r>
      <w:r>
        <w:t>the putative satiety hormone peptide YY.</w:t>
      </w:r>
      <w:r>
        <w:rPr>
          <w:vertAlign w:val="superscript"/>
        </w:rPr>
        <w:t xml:space="preserve"> </w:t>
      </w:r>
    </w:p>
    <w:p w:rsidR="00A60CEE" w:rsidRDefault="00A60CEE" w:rsidP="00E13FB9">
      <w:pPr>
        <w:pStyle w:val="NormalWeb"/>
        <w:jc w:val="both"/>
      </w:pPr>
      <w:r>
        <w:rPr>
          <w:b/>
          <w:bCs/>
        </w:rPr>
        <w:t>Design:</w:t>
      </w:r>
      <w:r>
        <w:t xml:space="preserve"> Total plasma PYY levels (PYY</w:t>
      </w:r>
      <w:r>
        <w:rPr>
          <w:vertAlign w:val="subscript"/>
        </w:rPr>
        <w:t>1–36</w:t>
      </w:r>
      <w:r>
        <w:t xml:space="preserve"> + PYY</w:t>
      </w:r>
      <w:r>
        <w:rPr>
          <w:vertAlign w:val="subscript"/>
        </w:rPr>
        <w:t>3–36</w:t>
      </w:r>
      <w:r>
        <w:t>)</w:t>
      </w:r>
      <w:r>
        <w:rPr>
          <w:vertAlign w:val="superscript"/>
        </w:rPr>
        <w:t xml:space="preserve"> </w:t>
      </w:r>
      <w:r>
        <w:t>were measured in 66 lean, 18 anorectic, 63 obese, and 16 morbidly</w:t>
      </w:r>
      <w:r>
        <w:rPr>
          <w:vertAlign w:val="superscript"/>
        </w:rPr>
        <w:t xml:space="preserve"> </w:t>
      </w:r>
      <w:r>
        <w:t>obese humans. In addition, total PYY was measured in 17 of the</w:t>
      </w:r>
      <w:r>
        <w:rPr>
          <w:vertAlign w:val="superscript"/>
        </w:rPr>
        <w:t xml:space="preserve"> </w:t>
      </w:r>
      <w:r>
        <w:t>obese patients after weight loss and in the 18 anorectic patients</w:t>
      </w:r>
      <w:r>
        <w:rPr>
          <w:vertAlign w:val="superscript"/>
        </w:rPr>
        <w:t xml:space="preserve"> </w:t>
      </w:r>
      <w:r>
        <w:t>after weight gain. Fasting PYY</w:t>
      </w:r>
      <w:r>
        <w:rPr>
          <w:vertAlign w:val="subscript"/>
        </w:rPr>
        <w:t>3–36</w:t>
      </w:r>
      <w:r>
        <w:t xml:space="preserve"> levels were measured</w:t>
      </w:r>
      <w:r>
        <w:rPr>
          <w:vertAlign w:val="superscript"/>
        </w:rPr>
        <w:t xml:space="preserve"> </w:t>
      </w:r>
      <w:r>
        <w:t>in 17 lean and 15 obese individuals.</w:t>
      </w:r>
      <w:r>
        <w:rPr>
          <w:vertAlign w:val="superscript"/>
        </w:rPr>
        <w:t xml:space="preserve"> </w:t>
      </w:r>
    </w:p>
    <w:p w:rsidR="00A60CEE" w:rsidRDefault="00A60CEE" w:rsidP="00E13FB9">
      <w:pPr>
        <w:pStyle w:val="NormalWeb"/>
        <w:jc w:val="both"/>
      </w:pPr>
      <w:r>
        <w:rPr>
          <w:b/>
          <w:bCs/>
        </w:rPr>
        <w:t>Results:</w:t>
      </w:r>
      <w:r>
        <w:t xml:space="preserve"> Fasting total plasma PYY levels were highest in patients</w:t>
      </w:r>
      <w:r>
        <w:rPr>
          <w:vertAlign w:val="superscript"/>
        </w:rPr>
        <w:t xml:space="preserve"> </w:t>
      </w:r>
      <w:r>
        <w:t xml:space="preserve">with anorexia nervosa (80.9 ± 12.9 pg/ml, </w:t>
      </w:r>
      <w:r>
        <w:rPr>
          <w:i/>
          <w:iCs/>
        </w:rPr>
        <w:t>P</w:t>
      </w:r>
      <w:r>
        <w:t xml:space="preserve"> &lt; 0.05)</w:t>
      </w:r>
      <w:r>
        <w:rPr>
          <w:vertAlign w:val="superscript"/>
        </w:rPr>
        <w:t xml:space="preserve"> </w:t>
      </w:r>
      <w:r>
        <w:t>compared with lean (52.4 ± 4.6 pg/ml), obese (43.9 ±</w:t>
      </w:r>
      <w:r>
        <w:rPr>
          <w:vertAlign w:val="superscript"/>
        </w:rPr>
        <w:t xml:space="preserve"> </w:t>
      </w:r>
      <w:r>
        <w:t>3.8 pg/ml), or morbidly obese (45.6 ± 11.2 pg/ml) subjects.</w:t>
      </w:r>
      <w:r>
        <w:rPr>
          <w:vertAlign w:val="superscript"/>
        </w:rPr>
        <w:t xml:space="preserve"> </w:t>
      </w:r>
      <w:r>
        <w:t>In obese patients, weight loss of 5.4% was associated with a</w:t>
      </w:r>
      <w:r>
        <w:rPr>
          <w:vertAlign w:val="superscript"/>
        </w:rPr>
        <w:t xml:space="preserve"> </w:t>
      </w:r>
      <w:r>
        <w:t>30% decrease in fasting total PYY plasma levels. In anorectic</w:t>
      </w:r>
      <w:r>
        <w:rPr>
          <w:vertAlign w:val="superscript"/>
        </w:rPr>
        <w:t xml:space="preserve"> </w:t>
      </w:r>
      <w:r>
        <w:t>patients, weight gain had no effect on fasting PYY. PYY</w:t>
      </w:r>
      <w:r>
        <w:rPr>
          <w:vertAlign w:val="subscript"/>
        </w:rPr>
        <w:t>3–36</w:t>
      </w:r>
      <w:r>
        <w:rPr>
          <w:vertAlign w:val="superscript"/>
        </w:rPr>
        <w:t xml:space="preserve"> </w:t>
      </w:r>
      <w:r>
        <w:t>levels did not differ between lean (96.2 ± 8.6 pg/ml)</w:t>
      </w:r>
      <w:r>
        <w:rPr>
          <w:vertAlign w:val="superscript"/>
        </w:rPr>
        <w:t xml:space="preserve"> </w:t>
      </w:r>
      <w:r>
        <w:t>and obese (91.5 ± 6.9 pg/ml) subjects.</w:t>
      </w:r>
      <w:r>
        <w:rPr>
          <w:vertAlign w:val="superscript"/>
        </w:rPr>
        <w:t xml:space="preserve"> </w:t>
      </w:r>
    </w:p>
    <w:p w:rsidR="00A60CEE" w:rsidRDefault="00A60CEE" w:rsidP="00E13FB9">
      <w:pPr>
        <w:pStyle w:val="NormalWeb"/>
        <w:jc w:val="both"/>
      </w:pPr>
      <w:r>
        <w:rPr>
          <w:b/>
          <w:bCs/>
        </w:rPr>
        <w:t>Conclusion:</w:t>
      </w:r>
      <w:r>
        <w:t xml:space="preserve"> Our findings do not support a role for abnormal</w:t>
      </w:r>
      <w:r>
        <w:rPr>
          <w:vertAlign w:val="superscript"/>
        </w:rPr>
        <w:t xml:space="preserve"> </w:t>
      </w:r>
      <w:r>
        <w:t>circulating PYY in human obesity. We conclude that circulating</w:t>
      </w:r>
      <w:r>
        <w:rPr>
          <w:vertAlign w:val="superscript"/>
        </w:rPr>
        <w:t xml:space="preserve"> </w:t>
      </w:r>
      <w:r>
        <w:t>PYY levels in humans are significantly elevated in anorexia</w:t>
      </w:r>
      <w:r>
        <w:rPr>
          <w:vertAlign w:val="superscript"/>
        </w:rPr>
        <w:t xml:space="preserve"> </w:t>
      </w:r>
      <w:r>
        <w:t>nervosa and, given the controversially discussed anorectic effect</w:t>
      </w:r>
      <w:r>
        <w:rPr>
          <w:vertAlign w:val="superscript"/>
        </w:rPr>
        <w:t xml:space="preserve"> </w:t>
      </w:r>
      <w:r>
        <w:t>of PYY, could theoretically contribute to that syndrome.</w:t>
      </w:r>
      <w:r>
        <w:rPr>
          <w:vertAlign w:val="superscript"/>
        </w:rPr>
        <w:t xml:space="preserve"> </w:t>
      </w:r>
    </w:p>
    <w:tbl>
      <w:tblPr>
        <w:tblW w:w="5000" w:type="pct"/>
        <w:tblCellSpacing w:w="0" w:type="dxa"/>
        <w:shd w:val="clear" w:color="auto" w:fill="E1E1E1"/>
        <w:tblCellMar>
          <w:left w:w="0" w:type="dxa"/>
          <w:right w:w="0" w:type="dxa"/>
        </w:tblCellMar>
        <w:tblLook w:val="04A0"/>
      </w:tblPr>
      <w:tblGrid>
        <w:gridCol w:w="540"/>
        <w:gridCol w:w="10260"/>
      </w:tblGrid>
      <w:tr w:rsidR="00A60CEE" w:rsidTr="00A60CEE">
        <w:trPr>
          <w:tblCellSpacing w:w="0" w:type="dxa"/>
        </w:trPr>
        <w:tc>
          <w:tcPr>
            <w:tcW w:w="250" w:type="pct"/>
            <w:shd w:val="clear" w:color="auto" w:fill="FFFFFF"/>
            <w:vAlign w:val="center"/>
            <w:hideMark/>
          </w:tcPr>
          <w:p w:rsidR="00A60CEE" w:rsidRDefault="00A60CEE" w:rsidP="00E13FB9">
            <w:pPr>
              <w:jc w:val="both"/>
              <w:rPr>
                <w:sz w:val="24"/>
                <w:szCs w:val="24"/>
              </w:rPr>
            </w:pPr>
            <w:bookmarkStart w:id="14" w:name="BDY"/>
            <w:bookmarkEnd w:id="14"/>
          </w:p>
        </w:tc>
        <w:tc>
          <w:tcPr>
            <w:tcW w:w="4750" w:type="pct"/>
            <w:shd w:val="clear" w:color="auto" w:fill="E1E1E1"/>
            <w:vAlign w:val="center"/>
            <w:hideMark/>
          </w:tcPr>
          <w:p w:rsidR="00A60CEE" w:rsidRDefault="00A60CEE" w:rsidP="00E13FB9">
            <w:pPr>
              <w:jc w:val="both"/>
              <w:rPr>
                <w:b/>
                <w:bCs/>
                <w:sz w:val="24"/>
                <w:szCs w:val="24"/>
              </w:rPr>
            </w:pPr>
            <w:r>
              <w:rPr>
                <w:b/>
                <w:bCs/>
                <w:sz w:val="36"/>
                <w:szCs w:val="36"/>
              </w:rPr>
              <w:t xml:space="preserve">   Introduction </w:t>
            </w:r>
          </w:p>
        </w:tc>
      </w:tr>
    </w:tbl>
    <w:tbl>
      <w:tblPr>
        <w:tblpPr w:leftFromText="45" w:rightFromText="45" w:vertAnchor="text" w:tblpXSpec="right" w:tblpYSpec="cente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46"/>
      </w:tblGrid>
      <w:tr w:rsidR="00A60CEE" w:rsidTr="00A60C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0CEE" w:rsidRDefault="00A60CEE" w:rsidP="00E13FB9">
            <w:pPr>
              <w:jc w:val="both"/>
              <w:rPr>
                <w:b/>
                <w:bCs/>
                <w:sz w:val="24"/>
                <w:szCs w:val="24"/>
              </w:rPr>
            </w:pPr>
          </w:p>
        </w:tc>
      </w:tr>
    </w:tbl>
    <w:p w:rsidR="00A60CEE" w:rsidRDefault="00A60CEE" w:rsidP="00E13FB9">
      <w:pPr>
        <w:pStyle w:val="NormalWeb"/>
        <w:jc w:val="both"/>
      </w:pPr>
      <w:r>
        <w:t> </w:t>
      </w:r>
      <w:r>
        <w:br/>
        <w:t>PEPTIDE YY (PYY) is an intestinal peptide that has been advanced</w:t>
      </w:r>
      <w:r>
        <w:rPr>
          <w:vertAlign w:val="superscript"/>
        </w:rPr>
        <w:t xml:space="preserve"> </w:t>
      </w:r>
      <w:r>
        <w:t>as a satiety factor (</w:t>
      </w:r>
      <w:hyperlink r:id="rId95" w:anchor="R1" w:history="1">
        <w:r>
          <w:rPr>
            <w:rStyle w:val="Hyperlink"/>
            <w:rFonts w:eastAsiaTheme="majorEastAsia"/>
          </w:rPr>
          <w:t>1</w:t>
        </w:r>
      </w:hyperlink>
      <w:r>
        <w:t xml:space="preserve">, </w:t>
      </w:r>
      <w:hyperlink r:id="rId96" w:anchor="R2" w:history="1">
        <w:r>
          <w:rPr>
            <w:rStyle w:val="Hyperlink"/>
            <w:rFonts w:eastAsiaTheme="majorEastAsia"/>
          </w:rPr>
          <w:t>2</w:t>
        </w:r>
      </w:hyperlink>
      <w:r>
        <w:t xml:space="preserve">, </w:t>
      </w:r>
      <w:hyperlink r:id="rId97" w:anchor="R3" w:history="1">
        <w:r>
          <w:rPr>
            <w:rStyle w:val="Hyperlink"/>
            <w:rFonts w:eastAsiaTheme="majorEastAsia"/>
          </w:rPr>
          <w:t>3</w:t>
        </w:r>
      </w:hyperlink>
      <w:r>
        <w:t>). PYY belongs to the pancreatic</w:t>
      </w:r>
      <w:r>
        <w:rPr>
          <w:vertAlign w:val="superscript"/>
        </w:rPr>
        <w:t xml:space="preserve"> </w:t>
      </w:r>
      <w:r>
        <w:t>polypeptide family, which includes pancreatic polypeptide (PP)</w:t>
      </w:r>
      <w:r>
        <w:rPr>
          <w:vertAlign w:val="superscript"/>
        </w:rPr>
        <w:t xml:space="preserve"> </w:t>
      </w:r>
      <w:r>
        <w:t>and neuropeptide Y (NPY). These related peptides display a high</w:t>
      </w:r>
      <w:r>
        <w:rPr>
          <w:vertAlign w:val="superscript"/>
        </w:rPr>
        <w:t xml:space="preserve"> </w:t>
      </w:r>
      <w:r>
        <w:t>sequence homology and share a common tertiary structure (PP-fold).</w:t>
      </w:r>
      <w:r>
        <w:rPr>
          <w:vertAlign w:val="superscript"/>
        </w:rPr>
        <w:t xml:space="preserve"> </w:t>
      </w:r>
      <w:r>
        <w:t>PYY mRNA has been identified in the intestine and the pancreas,</w:t>
      </w:r>
      <w:r>
        <w:rPr>
          <w:vertAlign w:val="superscript"/>
        </w:rPr>
        <w:t xml:space="preserve"> </w:t>
      </w:r>
      <w:r>
        <w:t>and, like many other gastrointestinal hormones, it can be detected</w:t>
      </w:r>
      <w:r>
        <w:rPr>
          <w:vertAlign w:val="superscript"/>
        </w:rPr>
        <w:t xml:space="preserve"> </w:t>
      </w:r>
      <w:r>
        <w:t>in distinct brainstem neurons (</w:t>
      </w:r>
      <w:hyperlink r:id="rId98" w:anchor="R4" w:history="1">
        <w:r>
          <w:rPr>
            <w:rStyle w:val="Hyperlink"/>
            <w:rFonts w:eastAsiaTheme="majorEastAsia"/>
          </w:rPr>
          <w:t>4</w:t>
        </w:r>
      </w:hyperlink>
      <w:r>
        <w:t>). The peptide is predominantly</w:t>
      </w:r>
      <w:r>
        <w:rPr>
          <w:vertAlign w:val="superscript"/>
        </w:rPr>
        <w:t xml:space="preserve"> </w:t>
      </w:r>
      <w:r>
        <w:t>secreted into circulation by endocrine L cells, which line the</w:t>
      </w:r>
      <w:r>
        <w:rPr>
          <w:vertAlign w:val="superscript"/>
        </w:rPr>
        <w:t xml:space="preserve"> </w:t>
      </w:r>
      <w:r>
        <w:t>distal small bowel and colon.</w:t>
      </w:r>
      <w:r>
        <w:rPr>
          <w:vertAlign w:val="superscript"/>
        </w:rPr>
        <w:t xml:space="preserve"> </w:t>
      </w:r>
    </w:p>
    <w:p w:rsidR="00A60CEE" w:rsidRDefault="00A60CEE" w:rsidP="00E13FB9">
      <w:pPr>
        <w:pStyle w:val="NormalWeb"/>
        <w:jc w:val="both"/>
      </w:pPr>
      <w:r>
        <w:t>PYY is metabolized by the enzyme dipeptidyl peptidase-IV, which</w:t>
      </w:r>
      <w:r>
        <w:rPr>
          <w:vertAlign w:val="superscript"/>
        </w:rPr>
        <w:t xml:space="preserve"> </w:t>
      </w:r>
      <w:r>
        <w:t>hydrolyzes PYY at the Pro2-Ile3 bond, converting a precursor</w:t>
      </w:r>
      <w:r>
        <w:rPr>
          <w:vertAlign w:val="superscript"/>
        </w:rPr>
        <w:t xml:space="preserve"> </w:t>
      </w:r>
      <w:r>
        <w:t>form PYY</w:t>
      </w:r>
      <w:r>
        <w:rPr>
          <w:vertAlign w:val="subscript"/>
        </w:rPr>
        <w:t>1–36</w:t>
      </w:r>
      <w:r>
        <w:t xml:space="preserve"> to PYY</w:t>
      </w:r>
      <w:r>
        <w:rPr>
          <w:vertAlign w:val="subscript"/>
        </w:rPr>
        <w:t>3–36</w:t>
      </w:r>
      <w:r>
        <w:t xml:space="preserve"> (</w:t>
      </w:r>
      <w:hyperlink r:id="rId99" w:anchor="R5" w:history="1">
        <w:r>
          <w:rPr>
            <w:rStyle w:val="Hyperlink"/>
            <w:rFonts w:eastAsiaTheme="majorEastAsia"/>
          </w:rPr>
          <w:t>5</w:t>
        </w:r>
      </w:hyperlink>
      <w:r>
        <w:t xml:space="preserve">, </w:t>
      </w:r>
      <w:hyperlink r:id="rId100" w:anchor="R6" w:history="1">
        <w:r>
          <w:rPr>
            <w:rStyle w:val="Hyperlink"/>
            <w:rFonts w:eastAsiaTheme="majorEastAsia"/>
          </w:rPr>
          <w:t>6</w:t>
        </w:r>
      </w:hyperlink>
      <w:r>
        <w:t>). Because of the extent</w:t>
      </w:r>
      <w:r>
        <w:rPr>
          <w:vertAlign w:val="superscript"/>
        </w:rPr>
        <w:t xml:space="preserve"> </w:t>
      </w:r>
      <w:r>
        <w:t>and rapidity of this process, the main circulating form of PYY</w:t>
      </w:r>
      <w:r>
        <w:rPr>
          <w:vertAlign w:val="superscript"/>
        </w:rPr>
        <w:t xml:space="preserve"> </w:t>
      </w:r>
      <w:r>
        <w:t>in postprandial human plasma is PYY</w:t>
      </w:r>
      <w:r>
        <w:rPr>
          <w:vertAlign w:val="subscript"/>
        </w:rPr>
        <w:t>3–36</w:t>
      </w:r>
      <w:r>
        <w:t xml:space="preserve"> (</w:t>
      </w:r>
      <w:hyperlink r:id="rId101" w:anchor="R5" w:history="1">
        <w:r>
          <w:rPr>
            <w:rStyle w:val="Hyperlink"/>
            <w:rFonts w:eastAsiaTheme="majorEastAsia"/>
          </w:rPr>
          <w:t>5</w:t>
        </w:r>
      </w:hyperlink>
      <w:r>
        <w:t>). Both forms</w:t>
      </w:r>
      <w:r>
        <w:rPr>
          <w:vertAlign w:val="superscript"/>
        </w:rPr>
        <w:t xml:space="preserve"> </w:t>
      </w:r>
      <w:r>
        <w:t>of PYY bind to the Y2 isoform of the NPY receptor (</w:t>
      </w:r>
      <w:hyperlink r:id="rId102" w:anchor="R7" w:history="1">
        <w:r>
          <w:rPr>
            <w:rStyle w:val="Hyperlink"/>
            <w:rFonts w:eastAsiaTheme="majorEastAsia"/>
          </w:rPr>
          <w:t>7</w:t>
        </w:r>
      </w:hyperlink>
      <w:r>
        <w:t xml:space="preserve">, </w:t>
      </w:r>
      <w:hyperlink r:id="rId103" w:anchor="R8" w:history="1">
        <w:r>
          <w:rPr>
            <w:rStyle w:val="Hyperlink"/>
            <w:rFonts w:eastAsiaTheme="majorEastAsia"/>
          </w:rPr>
          <w:t>8</w:t>
        </w:r>
      </w:hyperlink>
      <w:r>
        <w:t>). PYY</w:t>
      </w:r>
      <w:r>
        <w:rPr>
          <w:vertAlign w:val="subscript"/>
        </w:rPr>
        <w:t>1–36</w:t>
      </w:r>
      <w:r>
        <w:rPr>
          <w:vertAlign w:val="superscript"/>
        </w:rPr>
        <w:t xml:space="preserve"> </w:t>
      </w:r>
      <w:r>
        <w:t>also binds theY1 and Y5R isoforms (</w:t>
      </w:r>
      <w:hyperlink r:id="rId104" w:anchor="R8" w:history="1">
        <w:r>
          <w:rPr>
            <w:rStyle w:val="Hyperlink"/>
            <w:rFonts w:eastAsiaTheme="majorEastAsia"/>
          </w:rPr>
          <w:t>8</w:t>
        </w:r>
      </w:hyperlink>
      <w:r>
        <w:t>). Both PYY</w:t>
      </w:r>
      <w:r>
        <w:rPr>
          <w:vertAlign w:val="subscript"/>
        </w:rPr>
        <w:t>1–36</w:t>
      </w:r>
      <w:r>
        <w:t xml:space="preserve"> and</w:t>
      </w:r>
      <w:r>
        <w:rPr>
          <w:vertAlign w:val="superscript"/>
        </w:rPr>
        <w:t xml:space="preserve"> </w:t>
      </w:r>
      <w:r>
        <w:t>PYY</w:t>
      </w:r>
      <w:r>
        <w:rPr>
          <w:vertAlign w:val="subscript"/>
        </w:rPr>
        <w:t>3–36</w:t>
      </w:r>
      <w:r>
        <w:t xml:space="preserve"> inhibit gastric acid and pancreatic enzyme secretion</w:t>
      </w:r>
      <w:r>
        <w:rPr>
          <w:vertAlign w:val="superscript"/>
        </w:rPr>
        <w:t xml:space="preserve"> </w:t>
      </w:r>
      <w:r>
        <w:t>and suppress gastrointestinal motility (</w:t>
      </w:r>
      <w:hyperlink r:id="rId105" w:anchor="R9" w:history="1">
        <w:r>
          <w:rPr>
            <w:rStyle w:val="Hyperlink"/>
            <w:rFonts w:eastAsiaTheme="majorEastAsia"/>
          </w:rPr>
          <w:t>9</w:t>
        </w:r>
      </w:hyperlink>
      <w:r>
        <w:t xml:space="preserve">, </w:t>
      </w:r>
      <w:hyperlink r:id="rId106" w:anchor="R10" w:history="1">
        <w:r>
          <w:rPr>
            <w:rStyle w:val="Hyperlink"/>
            <w:rFonts w:eastAsiaTheme="majorEastAsia"/>
          </w:rPr>
          <w:t>10</w:t>
        </w:r>
      </w:hyperlink>
      <w:r>
        <w:t xml:space="preserve">, </w:t>
      </w:r>
      <w:hyperlink r:id="rId107" w:anchor="R11" w:history="1">
        <w:r>
          <w:rPr>
            <w:rStyle w:val="Hyperlink"/>
            <w:rFonts w:eastAsiaTheme="majorEastAsia"/>
          </w:rPr>
          <w:t>11</w:t>
        </w:r>
      </w:hyperlink>
      <w:r>
        <w:t xml:space="preserve">, </w:t>
      </w:r>
      <w:hyperlink r:id="rId108" w:anchor="R12" w:history="1">
        <w:r>
          <w:rPr>
            <w:rStyle w:val="Hyperlink"/>
            <w:rFonts w:eastAsiaTheme="majorEastAsia"/>
          </w:rPr>
          <w:t>12</w:t>
        </w:r>
      </w:hyperlink>
      <w:r>
        <w:t xml:space="preserve">, </w:t>
      </w:r>
      <w:hyperlink r:id="rId109" w:anchor="R13" w:history="1">
        <w:r>
          <w:rPr>
            <w:rStyle w:val="Hyperlink"/>
            <w:rFonts w:eastAsiaTheme="majorEastAsia"/>
          </w:rPr>
          <w:t>13</w:t>
        </w:r>
      </w:hyperlink>
      <w:r>
        <w:t xml:space="preserve">, </w:t>
      </w:r>
      <w:hyperlink r:id="rId110" w:anchor="R14" w:history="1">
        <w:r>
          <w:rPr>
            <w:rStyle w:val="Hyperlink"/>
            <w:rFonts w:eastAsiaTheme="majorEastAsia"/>
          </w:rPr>
          <w:t>14</w:t>
        </w:r>
      </w:hyperlink>
      <w:r>
        <w:t>).</w:t>
      </w:r>
      <w:r>
        <w:rPr>
          <w:vertAlign w:val="superscript"/>
        </w:rPr>
        <w:t xml:space="preserve"> </w:t>
      </w:r>
      <w:r>
        <w:t>Similar to NPY, PYY</w:t>
      </w:r>
      <w:r>
        <w:rPr>
          <w:vertAlign w:val="subscript"/>
        </w:rPr>
        <w:t>1–36</w:t>
      </w:r>
      <w:r>
        <w:t xml:space="preserve"> and PYY</w:t>
      </w:r>
      <w:r>
        <w:rPr>
          <w:vertAlign w:val="subscript"/>
        </w:rPr>
        <w:t>3–36</w:t>
      </w:r>
      <w:r>
        <w:t xml:space="preserve"> are potent stimuli</w:t>
      </w:r>
      <w:r>
        <w:rPr>
          <w:vertAlign w:val="superscript"/>
        </w:rPr>
        <w:t xml:space="preserve"> </w:t>
      </w:r>
      <w:r>
        <w:t>for feeding in the brain, producing massive and immediate hyperphagia</w:t>
      </w:r>
      <w:r>
        <w:rPr>
          <w:vertAlign w:val="superscript"/>
        </w:rPr>
        <w:t xml:space="preserve"> </w:t>
      </w:r>
      <w:r>
        <w:t>when injected into cerebral ventricles, the paraventricular</w:t>
      </w:r>
      <w:r>
        <w:rPr>
          <w:vertAlign w:val="superscript"/>
        </w:rPr>
        <w:t xml:space="preserve"> </w:t>
      </w:r>
      <w:r>
        <w:t>nucleus, or the hippocampus (</w:t>
      </w:r>
      <w:hyperlink r:id="rId111" w:anchor="R15" w:history="1">
        <w:r>
          <w:rPr>
            <w:rStyle w:val="Hyperlink"/>
            <w:rFonts w:eastAsiaTheme="majorEastAsia"/>
          </w:rPr>
          <w:t>15</w:t>
        </w:r>
      </w:hyperlink>
      <w:r>
        <w:t>).</w:t>
      </w:r>
      <w:r>
        <w:rPr>
          <w:vertAlign w:val="superscript"/>
        </w:rPr>
        <w:t xml:space="preserve"> </w:t>
      </w:r>
    </w:p>
    <w:p w:rsidR="00A60CEE" w:rsidRDefault="00A60CEE" w:rsidP="00E13FB9">
      <w:pPr>
        <w:pStyle w:val="NormalWeb"/>
        <w:jc w:val="both"/>
      </w:pPr>
      <w:r>
        <w:t>In contrast to the effects in the central nervous system, Batterham</w:t>
      </w:r>
      <w:r>
        <w:rPr>
          <w:vertAlign w:val="superscript"/>
        </w:rPr>
        <w:t xml:space="preserve"> </w:t>
      </w:r>
      <w:r>
        <w:t>and Bloom (</w:t>
      </w:r>
      <w:hyperlink r:id="rId112" w:anchor="R1" w:history="1">
        <w:r>
          <w:rPr>
            <w:rStyle w:val="Hyperlink"/>
            <w:rFonts w:eastAsiaTheme="majorEastAsia"/>
          </w:rPr>
          <w:t>1</w:t>
        </w:r>
      </w:hyperlink>
      <w:r>
        <w:t>) reported that circulating PYY</w:t>
      </w:r>
      <w:r>
        <w:rPr>
          <w:vertAlign w:val="subscript"/>
        </w:rPr>
        <w:t>3–36</w:t>
      </w:r>
      <w:r>
        <w:t xml:space="preserve"> is an</w:t>
      </w:r>
      <w:r>
        <w:rPr>
          <w:vertAlign w:val="superscript"/>
        </w:rPr>
        <w:t xml:space="preserve"> </w:t>
      </w:r>
      <w:r>
        <w:t>endogenous satiety factor, mediating this effect through the</w:t>
      </w:r>
      <w:r>
        <w:rPr>
          <w:vertAlign w:val="superscript"/>
        </w:rPr>
        <w:t xml:space="preserve"> </w:t>
      </w:r>
      <w:r>
        <w:t>Y2R subtype. In these experiments, iv PYY</w:t>
      </w:r>
      <w:r>
        <w:rPr>
          <w:vertAlign w:val="subscript"/>
        </w:rPr>
        <w:t>3–36</w:t>
      </w:r>
      <w:r>
        <w:t xml:space="preserve"> suppressed</w:t>
      </w:r>
      <w:r>
        <w:rPr>
          <w:vertAlign w:val="superscript"/>
        </w:rPr>
        <w:t xml:space="preserve"> </w:t>
      </w:r>
      <w:r>
        <w:t>food intake in rodents and humans and decreased body weight</w:t>
      </w:r>
      <w:r>
        <w:rPr>
          <w:vertAlign w:val="superscript"/>
        </w:rPr>
        <w:t xml:space="preserve"> </w:t>
      </w:r>
      <w:r>
        <w:t>gain in rodents (</w:t>
      </w:r>
      <w:hyperlink r:id="rId113" w:anchor="R3" w:history="1">
        <w:r>
          <w:rPr>
            <w:rStyle w:val="Hyperlink"/>
            <w:rFonts w:eastAsiaTheme="majorEastAsia"/>
          </w:rPr>
          <w:t>3</w:t>
        </w:r>
      </w:hyperlink>
      <w:r>
        <w:t>). These observations were hailed as a potential</w:t>
      </w:r>
      <w:r>
        <w:rPr>
          <w:vertAlign w:val="superscript"/>
        </w:rPr>
        <w:t xml:space="preserve"> </w:t>
      </w:r>
      <w:r>
        <w:t>advance toward an effective antiobesity treatment (</w:t>
      </w:r>
      <w:hyperlink r:id="rId114" w:anchor="R2" w:history="1">
        <w:r>
          <w:rPr>
            <w:rStyle w:val="Hyperlink"/>
            <w:rFonts w:eastAsiaTheme="majorEastAsia"/>
          </w:rPr>
          <w:t>2</w:t>
        </w:r>
      </w:hyperlink>
      <w:r>
        <w:t>). This</w:t>
      </w:r>
      <w:r>
        <w:rPr>
          <w:vertAlign w:val="superscript"/>
        </w:rPr>
        <w:t xml:space="preserve"> </w:t>
      </w:r>
      <w:r>
        <w:t>finding has not been universally confirmed, and 12 independent</w:t>
      </w:r>
      <w:r>
        <w:rPr>
          <w:vertAlign w:val="superscript"/>
        </w:rPr>
        <w:t xml:space="preserve"> </w:t>
      </w:r>
      <w:r>
        <w:t>study groups recently reported that they were unable to reproduce</w:t>
      </w:r>
      <w:r>
        <w:rPr>
          <w:vertAlign w:val="superscript"/>
        </w:rPr>
        <w:t xml:space="preserve"> </w:t>
      </w:r>
      <w:r>
        <w:t>any anorexigenic or weight-reducing effects of PYY</w:t>
      </w:r>
      <w:r>
        <w:rPr>
          <w:vertAlign w:val="subscript"/>
        </w:rPr>
        <w:t>3–36</w:t>
      </w:r>
      <w:r>
        <w:rPr>
          <w:vertAlign w:val="superscript"/>
        </w:rPr>
        <w:t xml:space="preserve"> </w:t>
      </w:r>
      <w:r>
        <w:t>in rodents (</w:t>
      </w:r>
      <w:hyperlink r:id="rId115" w:anchor="R16" w:history="1">
        <w:r>
          <w:rPr>
            <w:rStyle w:val="Hyperlink"/>
            <w:rFonts w:eastAsiaTheme="majorEastAsia"/>
          </w:rPr>
          <w:t>16</w:t>
        </w:r>
      </w:hyperlink>
      <w:r>
        <w:t>).</w:t>
      </w:r>
      <w:r>
        <w:rPr>
          <w:vertAlign w:val="superscript"/>
        </w:rPr>
        <w:t xml:space="preserve"> </w:t>
      </w:r>
    </w:p>
    <w:p w:rsidR="00A60CEE" w:rsidRDefault="00A60CEE" w:rsidP="00E13FB9">
      <w:pPr>
        <w:pStyle w:val="NormalWeb"/>
        <w:jc w:val="both"/>
      </w:pPr>
      <w:r>
        <w:t>There is little published information on plasma levels of PYY</w:t>
      </w:r>
      <w:r>
        <w:rPr>
          <w:vertAlign w:val="superscript"/>
        </w:rPr>
        <w:t xml:space="preserve"> </w:t>
      </w:r>
      <w:r>
        <w:t>in response to changes in energy balance. PYY levels reach a</w:t>
      </w:r>
      <w:r>
        <w:rPr>
          <w:vertAlign w:val="superscript"/>
        </w:rPr>
        <w:t xml:space="preserve"> </w:t>
      </w:r>
      <w:r>
        <w:t>nadir after fasting and increase after meals. Over the course</w:t>
      </w:r>
      <w:r>
        <w:rPr>
          <w:vertAlign w:val="superscript"/>
        </w:rPr>
        <w:t xml:space="preserve"> </w:t>
      </w:r>
      <w:r>
        <w:t>of a day, PYY levels are lowest in the morning and increase</w:t>
      </w:r>
      <w:r>
        <w:rPr>
          <w:vertAlign w:val="superscript"/>
        </w:rPr>
        <w:t xml:space="preserve"> </w:t>
      </w:r>
      <w:r>
        <w:t>steadily after breakfast, lunch, and the evening meal (</w:t>
      </w:r>
      <w:hyperlink r:id="rId116" w:anchor="R17" w:history="1">
        <w:r>
          <w:rPr>
            <w:rStyle w:val="Hyperlink"/>
            <w:rFonts w:eastAsiaTheme="majorEastAsia"/>
          </w:rPr>
          <w:t>17</w:t>
        </w:r>
      </w:hyperlink>
      <w:r>
        <w:t>).</w:t>
      </w:r>
      <w:r>
        <w:rPr>
          <w:vertAlign w:val="superscript"/>
        </w:rPr>
        <w:t xml:space="preserve"> </w:t>
      </w:r>
      <w:r>
        <w:t>After ingestion of a test meal, plasma levels increase proportionally</w:t>
      </w:r>
      <w:r>
        <w:rPr>
          <w:vertAlign w:val="superscript"/>
        </w:rPr>
        <w:t xml:space="preserve"> </w:t>
      </w:r>
      <w:r>
        <w:t>to the amount of ingested calories within 15 min, reaching a</w:t>
      </w:r>
      <w:r>
        <w:rPr>
          <w:vertAlign w:val="superscript"/>
        </w:rPr>
        <w:t xml:space="preserve"> </w:t>
      </w:r>
      <w:r>
        <w:t>peak at approximately 90 min, and then remain elevated for up</w:t>
      </w:r>
      <w:r>
        <w:rPr>
          <w:vertAlign w:val="superscript"/>
        </w:rPr>
        <w:t xml:space="preserve"> </w:t>
      </w:r>
      <w:r>
        <w:t>to 6 h (</w:t>
      </w:r>
      <w:hyperlink r:id="rId117" w:anchor="R14" w:history="1">
        <w:r>
          <w:rPr>
            <w:rStyle w:val="Hyperlink"/>
            <w:rFonts w:eastAsiaTheme="majorEastAsia"/>
          </w:rPr>
          <w:t>14</w:t>
        </w:r>
      </w:hyperlink>
      <w:r>
        <w:t>). To determine the effects of chronic energy balance</w:t>
      </w:r>
      <w:r>
        <w:rPr>
          <w:vertAlign w:val="superscript"/>
        </w:rPr>
        <w:t xml:space="preserve"> </w:t>
      </w:r>
      <w:r>
        <w:t>on plasma PYY, we compared circulating PYY</w:t>
      </w:r>
      <w:r>
        <w:rPr>
          <w:vertAlign w:val="subscript"/>
        </w:rPr>
        <w:t>1–36</w:t>
      </w:r>
      <w:r>
        <w:t xml:space="preserve"> and PYY</w:t>
      </w:r>
      <w:r>
        <w:rPr>
          <w:vertAlign w:val="subscript"/>
        </w:rPr>
        <w:t>3–36</w:t>
      </w:r>
      <w:r>
        <w:rPr>
          <w:vertAlign w:val="superscript"/>
        </w:rPr>
        <w:t xml:space="preserve"> </w:t>
      </w:r>
      <w:r>
        <w:t>levels in plasma of anorectic, lean, obese, and morbidly obese</w:t>
      </w:r>
      <w:r>
        <w:rPr>
          <w:vertAlign w:val="superscript"/>
        </w:rPr>
        <w:t xml:space="preserve"> </w:t>
      </w:r>
      <w:r>
        <w:t>subjects.</w:t>
      </w:r>
      <w:r>
        <w:rPr>
          <w:vertAlign w:val="superscript"/>
        </w:rPr>
        <w:t xml:space="preserve"> </w:t>
      </w:r>
    </w:p>
    <w:tbl>
      <w:tblPr>
        <w:tblW w:w="5000" w:type="pct"/>
        <w:tblCellSpacing w:w="0" w:type="dxa"/>
        <w:shd w:val="clear" w:color="auto" w:fill="E1E1E1"/>
        <w:tblCellMar>
          <w:left w:w="0" w:type="dxa"/>
          <w:right w:w="0" w:type="dxa"/>
        </w:tblCellMar>
        <w:tblLook w:val="04A0"/>
      </w:tblPr>
      <w:tblGrid>
        <w:gridCol w:w="540"/>
        <w:gridCol w:w="10260"/>
      </w:tblGrid>
      <w:tr w:rsidR="00A60CEE" w:rsidTr="00A60CEE">
        <w:trPr>
          <w:tblCellSpacing w:w="0" w:type="dxa"/>
        </w:trPr>
        <w:tc>
          <w:tcPr>
            <w:tcW w:w="250" w:type="pct"/>
            <w:shd w:val="clear" w:color="auto" w:fill="FFFFFF"/>
            <w:vAlign w:val="center"/>
            <w:hideMark/>
          </w:tcPr>
          <w:p w:rsidR="00A60CEE" w:rsidRDefault="00A60CEE" w:rsidP="00E13FB9">
            <w:pPr>
              <w:jc w:val="both"/>
              <w:rPr>
                <w:sz w:val="24"/>
                <w:szCs w:val="24"/>
              </w:rPr>
            </w:pPr>
            <w:bookmarkStart w:id="15" w:name="SEC1"/>
            <w:bookmarkEnd w:id="15"/>
          </w:p>
        </w:tc>
        <w:tc>
          <w:tcPr>
            <w:tcW w:w="4750" w:type="pct"/>
            <w:shd w:val="clear" w:color="auto" w:fill="E1E1E1"/>
            <w:vAlign w:val="center"/>
            <w:hideMark/>
          </w:tcPr>
          <w:p w:rsidR="00A60CEE" w:rsidRDefault="00A60CEE" w:rsidP="00E13FB9">
            <w:pPr>
              <w:jc w:val="both"/>
              <w:rPr>
                <w:b/>
                <w:bCs/>
                <w:sz w:val="24"/>
                <w:szCs w:val="24"/>
              </w:rPr>
            </w:pPr>
            <w:r>
              <w:rPr>
                <w:b/>
                <w:bCs/>
                <w:sz w:val="36"/>
                <w:szCs w:val="36"/>
              </w:rPr>
              <w:t xml:space="preserve">   Patients and Methods </w:t>
            </w:r>
          </w:p>
        </w:tc>
      </w:tr>
    </w:tbl>
    <w:tbl>
      <w:tblPr>
        <w:tblpPr w:leftFromText="45" w:rightFromText="45" w:vertAnchor="text" w:tblpXSpec="right" w:tblpYSpec="cente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46"/>
      </w:tblGrid>
      <w:tr w:rsidR="00A60CEE" w:rsidTr="00A60C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0CEE" w:rsidRDefault="00A60CEE" w:rsidP="00E13FB9">
            <w:pPr>
              <w:jc w:val="both"/>
              <w:rPr>
                <w:b/>
                <w:bCs/>
                <w:sz w:val="24"/>
                <w:szCs w:val="24"/>
              </w:rPr>
            </w:pPr>
          </w:p>
        </w:tc>
      </w:tr>
    </w:tbl>
    <w:p w:rsidR="00A60CEE" w:rsidRDefault="00A60CEE" w:rsidP="00E13FB9">
      <w:pPr>
        <w:pStyle w:val="NormalWeb"/>
        <w:jc w:val="both"/>
      </w:pPr>
      <w:r>
        <w:t> </w:t>
      </w:r>
      <w:r>
        <w:br/>
      </w:r>
      <w:r>
        <w:rPr>
          <w:rStyle w:val="Emphasis"/>
        </w:rPr>
        <w:t>Anorexia patients</w:t>
      </w:r>
      <w:r>
        <w:t xml:space="preserve"> </w:t>
      </w:r>
    </w:p>
    <w:p w:rsidR="00A60CEE" w:rsidRDefault="00A60CEE" w:rsidP="00E13FB9">
      <w:pPr>
        <w:pStyle w:val="NormalWeb"/>
        <w:jc w:val="both"/>
      </w:pPr>
      <w:r>
        <w:t>Plasma samples from 18 female patients [body mass index (BMI),</w:t>
      </w:r>
      <w:r>
        <w:rPr>
          <w:vertAlign w:val="superscript"/>
        </w:rPr>
        <w:t xml:space="preserve"> </w:t>
      </w:r>
      <w:r>
        <w:t>15.4 ± 0.3 kg/m</w:t>
      </w:r>
      <w:r>
        <w:rPr>
          <w:vertAlign w:val="superscript"/>
        </w:rPr>
        <w:t>2</w:t>
      </w:r>
      <w:r>
        <w:t>; age, 25.6 ± 1.0 yr] with anorexia</w:t>
      </w:r>
      <w:r>
        <w:rPr>
          <w:vertAlign w:val="superscript"/>
        </w:rPr>
        <w:t xml:space="preserve"> </w:t>
      </w:r>
      <w:r>
        <w:t>nervosa according to the criteria of the Diagnostic and Statistical</w:t>
      </w:r>
      <w:r>
        <w:rPr>
          <w:vertAlign w:val="superscript"/>
        </w:rPr>
        <w:t xml:space="preserve"> </w:t>
      </w:r>
      <w:r>
        <w:t>Manual of Mental Disorders, 4th edition (DSM-IV, American Psychiatric</w:t>
      </w:r>
      <w:r>
        <w:rPr>
          <w:vertAlign w:val="superscript"/>
        </w:rPr>
        <w:t xml:space="preserve"> </w:t>
      </w:r>
      <w:r>
        <w:t>Association, 1994) were measured in this study. The patients</w:t>
      </w:r>
      <w:r>
        <w:rPr>
          <w:vertAlign w:val="superscript"/>
        </w:rPr>
        <w:t xml:space="preserve"> </w:t>
      </w:r>
      <w:r>
        <w:t xml:space="preserve">had been </w:t>
      </w:r>
      <w:r>
        <w:lastRenderedPageBreak/>
        <w:t>admitted to a psychosomatic treatment center (Klinik</w:t>
      </w:r>
      <w:r>
        <w:rPr>
          <w:vertAlign w:val="superscript"/>
        </w:rPr>
        <w:t xml:space="preserve"> </w:t>
      </w:r>
      <w:r>
        <w:t>Roseneck, Prien, Germany) for an inpatient intervention program.</w:t>
      </w:r>
      <w:r>
        <w:rPr>
          <w:vertAlign w:val="superscript"/>
        </w:rPr>
        <w:t xml:space="preserve"> </w:t>
      </w:r>
      <w:r>
        <w:t>All patients had been examined and were in good health apart</w:t>
      </w:r>
      <w:r>
        <w:rPr>
          <w:vertAlign w:val="superscript"/>
        </w:rPr>
        <w:t xml:space="preserve"> </w:t>
      </w:r>
      <w:r>
        <w:t>from their eating disorder. Fasting blood samples were taken</w:t>
      </w:r>
      <w:r>
        <w:rPr>
          <w:vertAlign w:val="superscript"/>
        </w:rPr>
        <w:t xml:space="preserve"> </w:t>
      </w:r>
      <w:r>
        <w:t>at three different times: 1) within the first 3 d after admission</w:t>
      </w:r>
      <w:r>
        <w:rPr>
          <w:vertAlign w:val="superscript"/>
        </w:rPr>
        <w:t xml:space="preserve"> </w:t>
      </w:r>
      <w:r>
        <w:t>(no weight gain since admission or in the last 2 wk before),</w:t>
      </w:r>
      <w:r>
        <w:rPr>
          <w:vertAlign w:val="superscript"/>
        </w:rPr>
        <w:t xml:space="preserve"> </w:t>
      </w:r>
      <w:r>
        <w:t>2) after a weight gain of at least 2 kg twice consecutively</w:t>
      </w:r>
      <w:r>
        <w:rPr>
          <w:vertAlign w:val="superscript"/>
        </w:rPr>
        <w:t xml:space="preserve"> </w:t>
      </w:r>
      <w:r>
        <w:t>when weighing the patients twice a week (1–7 wk after</w:t>
      </w:r>
      <w:r>
        <w:rPr>
          <w:vertAlign w:val="superscript"/>
        </w:rPr>
        <w:t xml:space="preserve"> </w:t>
      </w:r>
      <w:r>
        <w:t>admission), 3) in the last week before discharge [6–19</w:t>
      </w:r>
      <w:r>
        <w:rPr>
          <w:vertAlign w:val="superscript"/>
        </w:rPr>
        <w:t xml:space="preserve"> </w:t>
      </w:r>
      <w:r>
        <w:t>(mean, 10.6 ± 0.8) wk in hospital]. None of the patients</w:t>
      </w:r>
      <w:r>
        <w:rPr>
          <w:vertAlign w:val="superscript"/>
        </w:rPr>
        <w:t xml:space="preserve"> </w:t>
      </w:r>
      <w:r>
        <w:t>received parenteral nutritional support at any time of the treatment.</w:t>
      </w:r>
      <w:r>
        <w:rPr>
          <w:vertAlign w:val="superscript"/>
        </w:rPr>
        <w:t xml:space="preserve"> </w:t>
      </w:r>
      <w:r>
        <w:t>The procedure was reviewed and approved by the ethics committee</w:t>
      </w:r>
      <w:r>
        <w:rPr>
          <w:vertAlign w:val="superscript"/>
        </w:rPr>
        <w:t xml:space="preserve"> </w:t>
      </w:r>
      <w:r>
        <w:t>of the Medical Faculty of the Ludwig-Maximilians-University,</w:t>
      </w:r>
      <w:r>
        <w:rPr>
          <w:vertAlign w:val="superscript"/>
        </w:rPr>
        <w:t xml:space="preserve"> </w:t>
      </w:r>
      <w:r>
        <w:t>Munich, Germany.</w:t>
      </w:r>
      <w:r>
        <w:rPr>
          <w:vertAlign w:val="superscript"/>
        </w:rPr>
        <w:t xml:space="preserve"> </w:t>
      </w:r>
    </w:p>
    <w:p w:rsidR="00A60CEE" w:rsidRDefault="00A60CEE" w:rsidP="00E13FB9">
      <w:pPr>
        <w:pStyle w:val="NormalWeb"/>
        <w:jc w:val="both"/>
      </w:pPr>
      <w:r>
        <w:rPr>
          <w:rStyle w:val="Emphasis"/>
        </w:rPr>
        <w:t>Lean, obese, and morbidly obese individuals</w:t>
      </w:r>
      <w:r>
        <w:t xml:space="preserve"> </w:t>
      </w:r>
    </w:p>
    <w:p w:rsidR="00A60CEE" w:rsidRDefault="00A60CEE" w:rsidP="00E13FB9">
      <w:pPr>
        <w:pStyle w:val="NormalWeb"/>
        <w:jc w:val="both"/>
      </w:pPr>
      <w:r>
        <w:t>Fasting blood samples from 66 lean individuals (24 males, 42</w:t>
      </w:r>
      <w:r>
        <w:rPr>
          <w:vertAlign w:val="superscript"/>
        </w:rPr>
        <w:t xml:space="preserve"> </w:t>
      </w:r>
      <w:r>
        <w:t>females; BMI, 22.1 ± 0.2 kg/m</w:t>
      </w:r>
      <w:r>
        <w:rPr>
          <w:vertAlign w:val="superscript"/>
        </w:rPr>
        <w:t>2</w:t>
      </w:r>
      <w:r>
        <w:t>; age, 41.5 ± 2.2</w:t>
      </w:r>
      <w:r>
        <w:rPr>
          <w:vertAlign w:val="superscript"/>
        </w:rPr>
        <w:t xml:space="preserve"> </w:t>
      </w:r>
      <w:r>
        <w:t>yr), 63 obese individuals (20 males, 43 females; BMI, 32.7 ±</w:t>
      </w:r>
      <w:r>
        <w:rPr>
          <w:vertAlign w:val="superscript"/>
        </w:rPr>
        <w:t xml:space="preserve"> </w:t>
      </w:r>
      <w:r>
        <w:t>0.3 kg/m</w:t>
      </w:r>
      <w:r>
        <w:rPr>
          <w:vertAlign w:val="superscript"/>
        </w:rPr>
        <w:t>2</w:t>
      </w:r>
      <w:r>
        <w:t>; age, 48.4 ± 2.4 yr), and 16 morbidly obese</w:t>
      </w:r>
      <w:r>
        <w:rPr>
          <w:vertAlign w:val="superscript"/>
        </w:rPr>
        <w:t xml:space="preserve"> </w:t>
      </w:r>
      <w:r>
        <w:t>individuals (one male, 15 females; BMI, 44.5 ± 0.9 kg/m</w:t>
      </w:r>
      <w:r>
        <w:rPr>
          <w:vertAlign w:val="superscript"/>
        </w:rPr>
        <w:t>2</w:t>
      </w:r>
      <w:r>
        <w:t>;</w:t>
      </w:r>
      <w:r>
        <w:rPr>
          <w:vertAlign w:val="superscript"/>
        </w:rPr>
        <w:t xml:space="preserve"> </w:t>
      </w:r>
      <w:r>
        <w:t>age, 44.7 ± 2.8 yr) were drawn at the Department of Clinical</w:t>
      </w:r>
      <w:r>
        <w:rPr>
          <w:vertAlign w:val="superscript"/>
        </w:rPr>
        <w:t xml:space="preserve"> </w:t>
      </w:r>
      <w:r>
        <w:t>Nutrition at the German Institute of Human Nutrition Potsdam-Rehbruecke,</w:t>
      </w:r>
      <w:r>
        <w:rPr>
          <w:vertAlign w:val="superscript"/>
        </w:rPr>
        <w:t xml:space="preserve"> </w:t>
      </w:r>
      <w:r>
        <w:t>Nuthetal, Germany. In addition, PYY</w:t>
      </w:r>
      <w:r>
        <w:rPr>
          <w:vertAlign w:val="subscript"/>
        </w:rPr>
        <w:t>3–36</w:t>
      </w:r>
      <w:r>
        <w:t xml:space="preserve"> was measured in</w:t>
      </w:r>
      <w:r>
        <w:rPr>
          <w:vertAlign w:val="superscript"/>
        </w:rPr>
        <w:t xml:space="preserve"> </w:t>
      </w:r>
      <w:r>
        <w:t>17 lean (all female; BMI, 22.0 ± 0.5 kg/m</w:t>
      </w:r>
      <w:r>
        <w:rPr>
          <w:vertAlign w:val="superscript"/>
        </w:rPr>
        <w:t>2</w:t>
      </w:r>
      <w:r>
        <w:t>; age, 51.6</w:t>
      </w:r>
      <w:r>
        <w:rPr>
          <w:vertAlign w:val="superscript"/>
        </w:rPr>
        <w:t xml:space="preserve"> </w:t>
      </w:r>
      <w:r>
        <w:t>± 1.9 yr) and 15 obese (all female; BMI, 31.1 ±</w:t>
      </w:r>
      <w:r>
        <w:rPr>
          <w:vertAlign w:val="superscript"/>
        </w:rPr>
        <w:t xml:space="preserve"> </w:t>
      </w:r>
      <w:r>
        <w:t>0.5 kg/m</w:t>
      </w:r>
      <w:r>
        <w:rPr>
          <w:vertAlign w:val="superscript"/>
        </w:rPr>
        <w:t>2</w:t>
      </w:r>
      <w:r>
        <w:t>; age, 52.0 ± 2.0 yr) individuals. For another</w:t>
      </w:r>
      <w:r>
        <w:rPr>
          <w:vertAlign w:val="superscript"/>
        </w:rPr>
        <w:t xml:space="preserve"> </w:t>
      </w:r>
      <w:r>
        <w:t>subset of obese subjects (three males, 14 females; BMI, 35.1</w:t>
      </w:r>
      <w:r>
        <w:rPr>
          <w:vertAlign w:val="superscript"/>
        </w:rPr>
        <w:t xml:space="preserve"> </w:t>
      </w:r>
      <w:r>
        <w:t>± 1.4 kg/m</w:t>
      </w:r>
      <w:r>
        <w:rPr>
          <w:vertAlign w:val="superscript"/>
        </w:rPr>
        <w:t>2</w:t>
      </w:r>
      <w:r>
        <w:t>) blood samples were drawn approximately 12</w:t>
      </w:r>
      <w:r>
        <w:rPr>
          <w:vertAlign w:val="superscript"/>
        </w:rPr>
        <w:t xml:space="preserve"> </w:t>
      </w:r>
      <w:r>
        <w:t>wk after undergoing a therapeutic weight loss program (average</w:t>
      </w:r>
      <w:r>
        <w:rPr>
          <w:vertAlign w:val="superscript"/>
        </w:rPr>
        <w:t xml:space="preserve"> </w:t>
      </w:r>
      <w:r>
        <w:rPr>
          <w:noProof/>
        </w:rPr>
        <w:drawing>
          <wp:inline distT="0" distB="0" distL="0" distR="0">
            <wp:extent cx="104775" cy="95250"/>
            <wp:effectExtent l="19050" t="0" r="9525" b="0"/>
            <wp:docPr id="82" name="Picture 82"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elta}"/>
                    <pic:cNvPicPr>
                      <a:picLocks noChangeAspect="1" noChangeArrowheads="1"/>
                    </pic:cNvPicPr>
                  </pic:nvPicPr>
                  <pic:blipFill>
                    <a:blip r:embed="rId118"/>
                    <a:srcRect/>
                    <a:stretch>
                      <a:fillRect/>
                    </a:stretch>
                  </pic:blipFill>
                  <pic:spPr bwMode="auto">
                    <a:xfrm>
                      <a:off x="0" y="0"/>
                      <a:ext cx="104775" cy="95250"/>
                    </a:xfrm>
                    <a:prstGeom prst="rect">
                      <a:avLst/>
                    </a:prstGeom>
                    <a:noFill/>
                    <a:ln w="9525">
                      <a:noFill/>
                      <a:miter lim="800000"/>
                      <a:headEnd/>
                      <a:tailEnd/>
                    </a:ln>
                  </pic:spPr>
                </pic:pic>
              </a:graphicData>
            </a:graphic>
          </wp:inline>
        </w:drawing>
      </w:r>
      <w:r>
        <w:t>BMI, –1.9 kg/m</w:t>
      </w:r>
      <w:r>
        <w:rPr>
          <w:vertAlign w:val="superscript"/>
        </w:rPr>
        <w:t>2</w:t>
      </w:r>
      <w:r>
        <w:t xml:space="preserve">; 5.4%; </w:t>
      </w:r>
      <w:r>
        <w:rPr>
          <w:i/>
          <w:iCs/>
        </w:rPr>
        <w:t>P</w:t>
      </w:r>
      <w:r>
        <w:t xml:space="preserve"> &lt; 0.001). BMI was classified</w:t>
      </w:r>
      <w:r>
        <w:rPr>
          <w:vertAlign w:val="superscript"/>
        </w:rPr>
        <w:t xml:space="preserve"> </w:t>
      </w:r>
      <w:r>
        <w:t>according to World Health Organization and Centers for Disease</w:t>
      </w:r>
      <w:r>
        <w:rPr>
          <w:vertAlign w:val="superscript"/>
        </w:rPr>
        <w:t xml:space="preserve"> </w:t>
      </w:r>
      <w:r>
        <w:t>Control criteria: normal BMI, 18.5–25 kg/m</w:t>
      </w:r>
      <w:r>
        <w:rPr>
          <w:vertAlign w:val="superscript"/>
        </w:rPr>
        <w:t>2</w:t>
      </w:r>
      <w:r>
        <w:t>; overweight</w:t>
      </w:r>
      <w:r>
        <w:rPr>
          <w:vertAlign w:val="superscript"/>
        </w:rPr>
        <w:t xml:space="preserve"> </w:t>
      </w:r>
      <w:r>
        <w:t>BMI, 25–30 kg/m</w:t>
      </w:r>
      <w:r>
        <w:rPr>
          <w:vertAlign w:val="superscript"/>
        </w:rPr>
        <w:t>2</w:t>
      </w:r>
      <w:r>
        <w:t>; obese BMI, 30–40 kg/m</w:t>
      </w:r>
      <w:r>
        <w:rPr>
          <w:vertAlign w:val="superscript"/>
        </w:rPr>
        <w:t>2</w:t>
      </w:r>
      <w:r>
        <w:t>; morbidly</w:t>
      </w:r>
      <w:r>
        <w:rPr>
          <w:vertAlign w:val="superscript"/>
        </w:rPr>
        <w:t xml:space="preserve"> </w:t>
      </w:r>
      <w:r>
        <w:t>obese BMI, more than 40 kg/m</w:t>
      </w:r>
      <w:r>
        <w:rPr>
          <w:vertAlign w:val="superscript"/>
        </w:rPr>
        <w:t>2</w:t>
      </w:r>
      <w:r>
        <w:t xml:space="preserve"> (</w:t>
      </w:r>
      <w:hyperlink r:id="rId119" w:anchor="R18" w:history="1">
        <w:r>
          <w:rPr>
            <w:rStyle w:val="Hyperlink"/>
            <w:rFonts w:eastAsiaTheme="majorEastAsia"/>
          </w:rPr>
          <w:t>18</w:t>
        </w:r>
      </w:hyperlink>
      <w:r>
        <w:t xml:space="preserve">, </w:t>
      </w:r>
      <w:hyperlink r:id="rId120" w:anchor="R19" w:history="1">
        <w:r>
          <w:rPr>
            <w:rStyle w:val="Hyperlink"/>
            <w:rFonts w:eastAsiaTheme="majorEastAsia"/>
          </w:rPr>
          <w:t>19</w:t>
        </w:r>
      </w:hyperlink>
      <w:r>
        <w:t>). All patients gave written</w:t>
      </w:r>
      <w:r>
        <w:rPr>
          <w:vertAlign w:val="superscript"/>
        </w:rPr>
        <w:t xml:space="preserve"> </w:t>
      </w:r>
      <w:r>
        <w:t>informed consent for their participation in the study, which</w:t>
      </w:r>
      <w:r>
        <w:rPr>
          <w:vertAlign w:val="superscript"/>
        </w:rPr>
        <w:t xml:space="preserve"> </w:t>
      </w:r>
      <w:r>
        <w:t>was approved by the Ethical Committee of the University Potsdam.</w:t>
      </w:r>
      <w:r>
        <w:rPr>
          <w:vertAlign w:val="superscript"/>
        </w:rPr>
        <w:t xml:space="preserve"> </w:t>
      </w:r>
    </w:p>
    <w:p w:rsidR="00A60CEE" w:rsidRDefault="00A60CEE" w:rsidP="00E13FB9">
      <w:pPr>
        <w:pStyle w:val="NormalWeb"/>
        <w:jc w:val="both"/>
      </w:pPr>
      <w:r>
        <w:rPr>
          <w:rStyle w:val="Emphasis"/>
        </w:rPr>
        <w:t>Meal study</w:t>
      </w:r>
      <w:r>
        <w:t xml:space="preserve"> </w:t>
      </w:r>
    </w:p>
    <w:p w:rsidR="00A60CEE" w:rsidRDefault="00A60CEE" w:rsidP="00E13FB9">
      <w:pPr>
        <w:pStyle w:val="NormalWeb"/>
        <w:jc w:val="both"/>
      </w:pPr>
      <w:r>
        <w:t>PYY</w:t>
      </w:r>
      <w:r>
        <w:rPr>
          <w:vertAlign w:val="subscript"/>
        </w:rPr>
        <w:t>1–36</w:t>
      </w:r>
      <w:r>
        <w:t xml:space="preserve"> and PYY</w:t>
      </w:r>
      <w:r>
        <w:rPr>
          <w:vertAlign w:val="subscript"/>
        </w:rPr>
        <w:t>3–36</w:t>
      </w:r>
      <w:r>
        <w:t xml:space="preserve"> were measured after ingestion</w:t>
      </w:r>
      <w:r>
        <w:rPr>
          <w:vertAlign w:val="superscript"/>
        </w:rPr>
        <w:t xml:space="preserve"> </w:t>
      </w:r>
      <w:r>
        <w:t>of water or a high-caloric-density meal in six lean, healthy</w:t>
      </w:r>
      <w:r>
        <w:rPr>
          <w:vertAlign w:val="superscript"/>
        </w:rPr>
        <w:t xml:space="preserve"> </w:t>
      </w:r>
      <w:r>
        <w:t>volunteers (three male, three female; age, 29.0 ± 1.2</w:t>
      </w:r>
      <w:r>
        <w:rPr>
          <w:vertAlign w:val="superscript"/>
        </w:rPr>
        <w:t xml:space="preserve"> </w:t>
      </w:r>
      <w:r>
        <w:t>yr; BMI, 20.7 ± 1.1 kg/m</w:t>
      </w:r>
      <w:r>
        <w:rPr>
          <w:vertAlign w:val="superscript"/>
        </w:rPr>
        <w:t>2</w:t>
      </w:r>
      <w:r>
        <w:t>). On two consecutive days,</w:t>
      </w:r>
      <w:r>
        <w:rPr>
          <w:vertAlign w:val="superscript"/>
        </w:rPr>
        <w:t xml:space="preserve"> </w:t>
      </w:r>
      <w:r>
        <w:t>blood samples were taken before and after a test ingestion (–5,</w:t>
      </w:r>
      <w:r>
        <w:rPr>
          <w:vertAlign w:val="superscript"/>
        </w:rPr>
        <w:t xml:space="preserve"> </w:t>
      </w:r>
      <w:r>
        <w:t>0, 15, 30, 60, 90, and 120 min), starting at 0900 h. On 1 d,</w:t>
      </w:r>
      <w:r>
        <w:rPr>
          <w:vertAlign w:val="superscript"/>
        </w:rPr>
        <w:t xml:space="preserve"> </w:t>
      </w:r>
      <w:r>
        <w:t>250 ml water was consumed. On the second day, a high-calorie</w:t>
      </w:r>
      <w:r>
        <w:rPr>
          <w:vertAlign w:val="superscript"/>
        </w:rPr>
        <w:t xml:space="preserve"> </w:t>
      </w:r>
      <w:r>
        <w:t>meal [Burger King Croissan’wich with ham, cheese, and</w:t>
      </w:r>
      <w:r>
        <w:rPr>
          <w:vertAlign w:val="superscript"/>
        </w:rPr>
        <w:t xml:space="preserve"> </w:t>
      </w:r>
      <w:r>
        <w:t>eggs, hash brown rounds, orange juice, and one can of Ensure</w:t>
      </w:r>
      <w:r>
        <w:rPr>
          <w:vertAlign w:val="superscript"/>
        </w:rPr>
        <w:t xml:space="preserve"> </w:t>
      </w:r>
      <w:r>
        <w:t>Plus (Abbott, Chicago, IL); total, 1030 kcal] was consumed within</w:t>
      </w:r>
      <w:r>
        <w:rPr>
          <w:vertAlign w:val="superscript"/>
        </w:rPr>
        <w:t xml:space="preserve"> </w:t>
      </w:r>
      <w:r>
        <w:t>15 min and blood sampled as described above. This study was</w:t>
      </w:r>
      <w:r>
        <w:rPr>
          <w:vertAlign w:val="superscript"/>
        </w:rPr>
        <w:t xml:space="preserve"> </w:t>
      </w:r>
      <w:r>
        <w:t>reviewed and approved by the Human Subjects Committee at the</w:t>
      </w:r>
      <w:r>
        <w:rPr>
          <w:vertAlign w:val="superscript"/>
        </w:rPr>
        <w:t xml:space="preserve"> </w:t>
      </w:r>
      <w:r>
        <w:t>University of Cincinnati.</w:t>
      </w:r>
      <w:r>
        <w:rPr>
          <w:vertAlign w:val="superscript"/>
        </w:rPr>
        <w:t xml:space="preserve"> </w:t>
      </w:r>
    </w:p>
    <w:p w:rsidR="00A60CEE" w:rsidRDefault="00A60CEE" w:rsidP="00E13FB9">
      <w:pPr>
        <w:pStyle w:val="NormalWeb"/>
        <w:jc w:val="both"/>
      </w:pPr>
      <w:r>
        <w:rPr>
          <w:rStyle w:val="Emphasis"/>
        </w:rPr>
        <w:t>Measurement of total PYY</w:t>
      </w:r>
      <w:r>
        <w:t xml:space="preserve"> </w:t>
      </w:r>
    </w:p>
    <w:p w:rsidR="00A60CEE" w:rsidRDefault="00A60CEE" w:rsidP="00E13FB9">
      <w:pPr>
        <w:pStyle w:val="NormalWeb"/>
        <w:jc w:val="both"/>
      </w:pPr>
      <w:r>
        <w:t>Blood samples were drawn into EDTA tubes in the morning after</w:t>
      </w:r>
      <w:r>
        <w:rPr>
          <w:vertAlign w:val="superscript"/>
        </w:rPr>
        <w:t xml:space="preserve"> </w:t>
      </w:r>
      <w:r>
        <w:t>an overnight fast of 12 h, the plasma separated within 1 h by</w:t>
      </w:r>
      <w:r>
        <w:rPr>
          <w:vertAlign w:val="superscript"/>
        </w:rPr>
        <w:t xml:space="preserve"> </w:t>
      </w:r>
      <w:r>
        <w:t xml:space="preserve">centrifugation at 3000 </w:t>
      </w:r>
      <w:r>
        <w:rPr>
          <w:rFonts w:ascii="Arial" w:hAnsi="Arial" w:cs="Arial"/>
        </w:rPr>
        <w:t>x</w:t>
      </w:r>
      <w:r>
        <w:t xml:space="preserve"> </w:t>
      </w:r>
      <w:r>
        <w:rPr>
          <w:i/>
          <w:iCs/>
        </w:rPr>
        <w:t>g</w:t>
      </w:r>
      <w:r>
        <w:t xml:space="preserve"> and 4 C and stored at –80 C.</w:t>
      </w:r>
      <w:r>
        <w:rPr>
          <w:vertAlign w:val="superscript"/>
        </w:rPr>
        <w:t xml:space="preserve"> </w:t>
      </w:r>
      <w:r>
        <w:t>Human total PYY plasma levels were measured using an ELISA kit</w:t>
      </w:r>
      <w:r>
        <w:rPr>
          <w:vertAlign w:val="superscript"/>
        </w:rPr>
        <w:t xml:space="preserve"> </w:t>
      </w:r>
      <w:r>
        <w:t>(ACTIVE Total Peptide YY) from Diagnostic Systems Laboratories</w:t>
      </w:r>
      <w:r>
        <w:rPr>
          <w:vertAlign w:val="superscript"/>
        </w:rPr>
        <w:t xml:space="preserve"> </w:t>
      </w:r>
      <w:r>
        <w:t>(Webster, TX). The ELISA quantifies both PYY</w:t>
      </w:r>
      <w:r>
        <w:rPr>
          <w:vertAlign w:val="subscript"/>
        </w:rPr>
        <w:t>1–36</w:t>
      </w:r>
      <w:r>
        <w:t xml:space="preserve"> and PYY</w:t>
      </w:r>
      <w:r>
        <w:rPr>
          <w:vertAlign w:val="subscript"/>
        </w:rPr>
        <w:t>3–36</w:t>
      </w:r>
      <w:r>
        <w:t>.</w:t>
      </w:r>
      <w:r>
        <w:rPr>
          <w:vertAlign w:val="superscript"/>
        </w:rPr>
        <w:t xml:space="preserve"> </w:t>
      </w:r>
      <w:r>
        <w:t>The cross-reactivity against mouse PYY</w:t>
      </w:r>
      <w:r>
        <w:rPr>
          <w:vertAlign w:val="subscript"/>
        </w:rPr>
        <w:t>1–36</w:t>
      </w:r>
      <w:r>
        <w:t xml:space="preserve"> and human PYY</w:t>
      </w:r>
      <w:r>
        <w:rPr>
          <w:vertAlign w:val="subscript"/>
        </w:rPr>
        <w:t>1–36</w:t>
      </w:r>
      <w:r>
        <w:rPr>
          <w:vertAlign w:val="superscript"/>
        </w:rPr>
        <w:t xml:space="preserve"> </w:t>
      </w:r>
      <w:r>
        <w:t>is 100%. Intra- and interassay coefficients of variation (CV)</w:t>
      </w:r>
      <w:r>
        <w:rPr>
          <w:vertAlign w:val="superscript"/>
        </w:rPr>
        <w:t xml:space="preserve"> </w:t>
      </w:r>
      <w:r>
        <w:t>are less than 3.3 and 7.6%, respectively. The sensitivity (minimum</w:t>
      </w:r>
      <w:r>
        <w:rPr>
          <w:vertAlign w:val="superscript"/>
        </w:rPr>
        <w:t xml:space="preserve"> </w:t>
      </w:r>
      <w:r>
        <w:t>detection limit), as calculated by interpolation, is 9.5 pg/ml.</w:t>
      </w:r>
      <w:r>
        <w:rPr>
          <w:vertAlign w:val="superscript"/>
        </w:rPr>
        <w:t xml:space="preserve"> </w:t>
      </w:r>
      <w:r>
        <w:t>All measurements were performed in duplicate according to the</w:t>
      </w:r>
      <w:r>
        <w:rPr>
          <w:vertAlign w:val="superscript"/>
        </w:rPr>
        <w:t xml:space="preserve"> </w:t>
      </w:r>
      <w:r>
        <w:t>manufacturer’s instructions.</w:t>
      </w:r>
      <w:r>
        <w:rPr>
          <w:vertAlign w:val="superscript"/>
        </w:rPr>
        <w:t xml:space="preserve"> </w:t>
      </w:r>
    </w:p>
    <w:p w:rsidR="00A60CEE" w:rsidRDefault="00A60CEE" w:rsidP="00E13FB9">
      <w:pPr>
        <w:pStyle w:val="NormalWeb"/>
        <w:jc w:val="both"/>
      </w:pPr>
      <w:r>
        <w:rPr>
          <w:rStyle w:val="Emphasis"/>
        </w:rPr>
        <w:t>Measurement of PYY</w:t>
      </w:r>
      <w:r>
        <w:rPr>
          <w:rStyle w:val="Emphasis"/>
          <w:vertAlign w:val="subscript"/>
        </w:rPr>
        <w:t>3–36</w:t>
      </w:r>
      <w:r>
        <w:t xml:space="preserve"> </w:t>
      </w:r>
    </w:p>
    <w:p w:rsidR="00A60CEE" w:rsidRDefault="00A60CEE" w:rsidP="00E13FB9">
      <w:pPr>
        <w:pStyle w:val="NormalWeb"/>
        <w:jc w:val="both"/>
      </w:pPr>
      <w:r>
        <w:t>For specific measurement of PYY</w:t>
      </w:r>
      <w:r>
        <w:rPr>
          <w:vertAlign w:val="subscript"/>
        </w:rPr>
        <w:t>3–36</w:t>
      </w:r>
      <w:r>
        <w:t>, blood samples were</w:t>
      </w:r>
      <w:r>
        <w:rPr>
          <w:vertAlign w:val="superscript"/>
        </w:rPr>
        <w:t xml:space="preserve"> </w:t>
      </w:r>
      <w:r>
        <w:t>drawn after an overnight fast into chilled tubes containing</w:t>
      </w:r>
      <w:r>
        <w:rPr>
          <w:vertAlign w:val="superscript"/>
        </w:rPr>
        <w:t xml:space="preserve"> </w:t>
      </w:r>
      <w:r>
        <w:t>EDTA and a protease inhibitor (Trasylol, 500 kIU/ml; Bayer,</w:t>
      </w:r>
      <w:r>
        <w:rPr>
          <w:vertAlign w:val="superscript"/>
        </w:rPr>
        <w:t xml:space="preserve"> </w:t>
      </w:r>
      <w:r>
        <w:t xml:space="preserve">Leverkusen, Germany) and centrifuged at 3000 </w:t>
      </w:r>
      <w:r>
        <w:rPr>
          <w:rFonts w:ascii="Arial" w:hAnsi="Arial" w:cs="Arial"/>
        </w:rPr>
        <w:t>x</w:t>
      </w:r>
      <w:r>
        <w:t xml:space="preserve"> </w:t>
      </w:r>
      <w:r>
        <w:rPr>
          <w:i/>
          <w:iCs/>
        </w:rPr>
        <w:t>g</w:t>
      </w:r>
      <w:r>
        <w:t xml:space="preserve"> and 4 C. For</w:t>
      </w:r>
      <w:r>
        <w:rPr>
          <w:vertAlign w:val="superscript"/>
        </w:rPr>
        <w:t xml:space="preserve"> </w:t>
      </w:r>
      <w:r>
        <w:t>quantification of PYY</w:t>
      </w:r>
      <w:r>
        <w:rPr>
          <w:vertAlign w:val="subscript"/>
        </w:rPr>
        <w:t>3–36</w:t>
      </w:r>
      <w:r>
        <w:t>, a RIA from Linco [human PYY(3–36</w:t>
      </w:r>
      <w:r>
        <w:rPr>
          <w:vertAlign w:val="superscript"/>
        </w:rPr>
        <w:t xml:space="preserve"> </w:t>
      </w:r>
      <w:r>
        <w:t>Specific RIA Kit; Linco Research, St. Charles, MO] was used.</w:t>
      </w:r>
      <w:r>
        <w:rPr>
          <w:vertAlign w:val="superscript"/>
        </w:rPr>
        <w:t xml:space="preserve"> </w:t>
      </w:r>
      <w:r>
        <w:t>The assay specifically detects human PYY</w:t>
      </w:r>
      <w:r>
        <w:rPr>
          <w:vertAlign w:val="subscript"/>
        </w:rPr>
        <w:t>3–36</w:t>
      </w:r>
      <w:r>
        <w:t xml:space="preserve"> and has no</w:t>
      </w:r>
      <w:r>
        <w:rPr>
          <w:vertAlign w:val="superscript"/>
        </w:rPr>
        <w:t xml:space="preserve"> </w:t>
      </w:r>
      <w:r>
        <w:lastRenderedPageBreak/>
        <w:t>detectable cross-reactivity with human PYY</w:t>
      </w:r>
      <w:r>
        <w:rPr>
          <w:vertAlign w:val="subscript"/>
        </w:rPr>
        <w:t>1–36</w:t>
      </w:r>
      <w:r>
        <w:t>. Intra</w:t>
      </w:r>
      <w:r>
        <w:rPr>
          <w:vertAlign w:val="superscript"/>
        </w:rPr>
        <w:t xml:space="preserve"> </w:t>
      </w:r>
      <w:r>
        <w:t>and interassay CV are less than 11.0 and 15.0%, respectively,</w:t>
      </w:r>
      <w:r>
        <w:rPr>
          <w:vertAlign w:val="superscript"/>
        </w:rPr>
        <w:t xml:space="preserve"> </w:t>
      </w:r>
      <w:r>
        <w:t>and the lowest level of PYY</w:t>
      </w:r>
      <w:r>
        <w:rPr>
          <w:vertAlign w:val="subscript"/>
        </w:rPr>
        <w:t>3–36</w:t>
      </w:r>
      <w:r>
        <w:t xml:space="preserve"> that can be detected is</w:t>
      </w:r>
      <w:r>
        <w:rPr>
          <w:vertAlign w:val="superscript"/>
        </w:rPr>
        <w:t xml:space="preserve"> </w:t>
      </w:r>
      <w:r>
        <w:t>20 pg/ml. All measurements were performed in duplicate according</w:t>
      </w:r>
      <w:r>
        <w:rPr>
          <w:vertAlign w:val="superscript"/>
        </w:rPr>
        <w:t xml:space="preserve"> </w:t>
      </w:r>
      <w:r>
        <w:t>to the manufacturer’s instructions.</w:t>
      </w:r>
      <w:r>
        <w:rPr>
          <w:vertAlign w:val="superscript"/>
        </w:rPr>
        <w:t xml:space="preserve"> </w:t>
      </w:r>
    </w:p>
    <w:p w:rsidR="00A60CEE" w:rsidRDefault="00A60CEE" w:rsidP="00E13FB9">
      <w:pPr>
        <w:pStyle w:val="NormalWeb"/>
        <w:jc w:val="both"/>
      </w:pPr>
      <w:r>
        <w:rPr>
          <w:rStyle w:val="Emphasis"/>
        </w:rPr>
        <w:t>Measurement of leptin and leptin-binding protein</w:t>
      </w:r>
      <w:r>
        <w:t xml:space="preserve"> </w:t>
      </w:r>
    </w:p>
    <w:p w:rsidR="00A60CEE" w:rsidRDefault="00A60CEE" w:rsidP="00E13FB9">
      <w:pPr>
        <w:pStyle w:val="NormalWeb"/>
        <w:jc w:val="both"/>
      </w:pPr>
      <w:r>
        <w:t>Blood samples were drawn into EDTA tubes in the morning after</w:t>
      </w:r>
      <w:r>
        <w:rPr>
          <w:vertAlign w:val="superscript"/>
        </w:rPr>
        <w:t xml:space="preserve"> </w:t>
      </w:r>
      <w:r>
        <w:t>an overnight fast of 12 h, the plasma separated within 1 h by</w:t>
      </w:r>
      <w:r>
        <w:rPr>
          <w:vertAlign w:val="superscript"/>
        </w:rPr>
        <w:t xml:space="preserve"> </w:t>
      </w:r>
      <w:r>
        <w:t xml:space="preserve">centrifugation at 3000 </w:t>
      </w:r>
      <w:r>
        <w:rPr>
          <w:rFonts w:ascii="Arial" w:hAnsi="Arial" w:cs="Arial"/>
        </w:rPr>
        <w:t>x</w:t>
      </w:r>
      <w:r>
        <w:t xml:space="preserve"> </w:t>
      </w:r>
      <w:r>
        <w:rPr>
          <w:i/>
          <w:iCs/>
        </w:rPr>
        <w:t>g</w:t>
      </w:r>
      <w:r>
        <w:t xml:space="preserve"> and 4 C and stored at –80 C.</w:t>
      </w:r>
      <w:r>
        <w:rPr>
          <w:vertAlign w:val="superscript"/>
        </w:rPr>
        <w:t xml:space="preserve"> </w:t>
      </w:r>
      <w:r>
        <w:t>Human leptin and human leptin-binding protein were measured</w:t>
      </w:r>
      <w:r>
        <w:rPr>
          <w:vertAlign w:val="superscript"/>
        </w:rPr>
        <w:t xml:space="preserve"> </w:t>
      </w:r>
      <w:r>
        <w:t>by using ELISA kits (Active Human Leptin and Active Leptin Soluble</w:t>
      </w:r>
      <w:r>
        <w:rPr>
          <w:vertAlign w:val="superscript"/>
        </w:rPr>
        <w:t xml:space="preserve"> </w:t>
      </w:r>
      <w:r>
        <w:t>Receptor, respectively) from Diagnostic Systems Laboratories.</w:t>
      </w:r>
      <w:r>
        <w:rPr>
          <w:vertAlign w:val="superscript"/>
        </w:rPr>
        <w:t xml:space="preserve"> </w:t>
      </w:r>
      <w:r>
        <w:t>For the detection of leptin, no cross-reactivity was observed</w:t>
      </w:r>
      <w:r>
        <w:rPr>
          <w:vertAlign w:val="superscript"/>
        </w:rPr>
        <w:t xml:space="preserve"> </w:t>
      </w:r>
      <w:r>
        <w:t>with bovine or porcine sera as well as with human leptin fragments</w:t>
      </w:r>
      <w:r>
        <w:rPr>
          <w:vertAlign w:val="superscript"/>
        </w:rPr>
        <w:t xml:space="preserve"> </w:t>
      </w:r>
      <w:r>
        <w:t>LP 1 (5–21), LP 2 (22–42), LP 3 (61–85), and</w:t>
      </w:r>
      <w:r>
        <w:rPr>
          <w:vertAlign w:val="superscript"/>
        </w:rPr>
        <w:t xml:space="preserve"> </w:t>
      </w:r>
      <w:r>
        <w:t>LP 4 (114–146). Recombinant leptin was shown to have no</w:t>
      </w:r>
      <w:r>
        <w:rPr>
          <w:vertAlign w:val="superscript"/>
        </w:rPr>
        <w:t xml:space="preserve"> </w:t>
      </w:r>
      <w:r>
        <w:t>cross-reactivity in the leptin-binding protein ELISA. Intra-</w:t>
      </w:r>
      <w:r>
        <w:rPr>
          <w:vertAlign w:val="superscript"/>
        </w:rPr>
        <w:t xml:space="preserve"> </w:t>
      </w:r>
      <w:r>
        <w:t>and interassay CV were less than 6.2 and 5.3% for the determination</w:t>
      </w:r>
      <w:r>
        <w:rPr>
          <w:vertAlign w:val="superscript"/>
        </w:rPr>
        <w:t xml:space="preserve"> </w:t>
      </w:r>
      <w:r>
        <w:t>of leptin and less than 13.3 and 9.6% for the determination</w:t>
      </w:r>
      <w:r>
        <w:rPr>
          <w:vertAlign w:val="superscript"/>
        </w:rPr>
        <w:t xml:space="preserve"> </w:t>
      </w:r>
      <w:r>
        <w:t>of leptin-binding protein, respectively. The theoretical sensitivity</w:t>
      </w:r>
      <w:r>
        <w:rPr>
          <w:vertAlign w:val="superscript"/>
        </w:rPr>
        <w:t xml:space="preserve"> </w:t>
      </w:r>
      <w:r>
        <w:t>(minimum detection limit) of the assays, as calculated by interpolation,</w:t>
      </w:r>
      <w:r>
        <w:rPr>
          <w:vertAlign w:val="superscript"/>
        </w:rPr>
        <w:t xml:space="preserve"> </w:t>
      </w:r>
      <w:r>
        <w:t>was 0.05 ng/ml for leptin and 0.14 ng/ml for leptin-binding</w:t>
      </w:r>
      <w:r>
        <w:rPr>
          <w:vertAlign w:val="superscript"/>
        </w:rPr>
        <w:t xml:space="preserve"> </w:t>
      </w:r>
      <w:r>
        <w:t>protein. All samples were measured in duplicate according to</w:t>
      </w:r>
      <w:r>
        <w:rPr>
          <w:vertAlign w:val="superscript"/>
        </w:rPr>
        <w:t xml:space="preserve"> </w:t>
      </w:r>
      <w:r>
        <w:t>the manufacturer’s instructions.</w:t>
      </w:r>
      <w:r>
        <w:rPr>
          <w:vertAlign w:val="superscript"/>
        </w:rPr>
        <w:t xml:space="preserve"> </w:t>
      </w:r>
    </w:p>
    <w:p w:rsidR="00A60CEE" w:rsidRDefault="00A60CEE" w:rsidP="00E13FB9">
      <w:pPr>
        <w:pStyle w:val="NormalWeb"/>
        <w:jc w:val="both"/>
      </w:pPr>
      <w:r>
        <w:rPr>
          <w:rStyle w:val="Emphasis"/>
        </w:rPr>
        <w:t>Statistical analysis</w:t>
      </w:r>
      <w:r>
        <w:t xml:space="preserve"> </w:t>
      </w:r>
    </w:p>
    <w:p w:rsidR="00A60CEE" w:rsidRDefault="00A60CEE" w:rsidP="00E13FB9">
      <w:pPr>
        <w:pStyle w:val="NormalWeb"/>
        <w:jc w:val="both"/>
      </w:pPr>
      <w:r>
        <w:t>BMI and PYY levels of anorectic, control, obese, and morbidly</w:t>
      </w:r>
      <w:r>
        <w:rPr>
          <w:vertAlign w:val="superscript"/>
        </w:rPr>
        <w:t xml:space="preserve"> </w:t>
      </w:r>
      <w:r>
        <w:t>obese subjects were compared using one-way ANOVA followed by</w:t>
      </w:r>
      <w:r>
        <w:rPr>
          <w:vertAlign w:val="superscript"/>
        </w:rPr>
        <w:t xml:space="preserve"> </w:t>
      </w:r>
      <w:r>
        <w:t xml:space="preserve">Dunnett’s </w:t>
      </w:r>
      <w:r>
        <w:rPr>
          <w:i/>
          <w:iCs/>
        </w:rPr>
        <w:t>post hoc</w:t>
      </w:r>
      <w:r>
        <w:t xml:space="preserve"> test. Significant changes of BMI and</w:t>
      </w:r>
      <w:r>
        <w:rPr>
          <w:vertAlign w:val="superscript"/>
        </w:rPr>
        <w:t xml:space="preserve"> </w:t>
      </w:r>
      <w:r>
        <w:t>PYY levels in obese subjects subjected to weight loss and anorectic</w:t>
      </w:r>
      <w:r>
        <w:rPr>
          <w:vertAlign w:val="superscript"/>
        </w:rPr>
        <w:t xml:space="preserve"> </w:t>
      </w:r>
      <w:r>
        <w:t xml:space="preserve">patients on weight-gain therapy were analyzed by paired </w:t>
      </w:r>
      <w:r>
        <w:rPr>
          <w:i/>
          <w:iCs/>
        </w:rPr>
        <w:t>t</w:t>
      </w:r>
      <w:r>
        <w:t xml:space="preserve"> tests</w:t>
      </w:r>
      <w:r>
        <w:rPr>
          <w:vertAlign w:val="superscript"/>
        </w:rPr>
        <w:t xml:space="preserve"> </w:t>
      </w:r>
      <w:r>
        <w:t xml:space="preserve">and repeated-measures ANOVA with </w:t>
      </w:r>
      <w:r>
        <w:rPr>
          <w:i/>
          <w:iCs/>
        </w:rPr>
        <w:t>post hoc</w:t>
      </w:r>
      <w:r>
        <w:t xml:space="preserve"> Bonferroni’s</w:t>
      </w:r>
      <w:r>
        <w:rPr>
          <w:vertAlign w:val="superscript"/>
        </w:rPr>
        <w:t xml:space="preserve"> </w:t>
      </w:r>
      <w:r>
        <w:t>multiple comparison tests, respectively. BMI and PYY</w:t>
      </w:r>
      <w:r>
        <w:rPr>
          <w:vertAlign w:val="subscript"/>
        </w:rPr>
        <w:t>3–36</w:t>
      </w:r>
      <w:r>
        <w:rPr>
          <w:vertAlign w:val="superscript"/>
        </w:rPr>
        <w:t xml:space="preserve"> </w:t>
      </w:r>
      <w:r>
        <w:t>levels in the additional sets of control and obese patients</w:t>
      </w:r>
      <w:r>
        <w:rPr>
          <w:vertAlign w:val="superscript"/>
        </w:rPr>
        <w:t xml:space="preserve"> </w:t>
      </w:r>
      <w:r>
        <w:t xml:space="preserve">were compared by unpaired (two-tailed) </w:t>
      </w:r>
      <w:r>
        <w:rPr>
          <w:i/>
          <w:iCs/>
        </w:rPr>
        <w:t>t</w:t>
      </w:r>
      <w:r>
        <w:t xml:space="preserve"> tests. Differences</w:t>
      </w:r>
      <w:r>
        <w:rPr>
          <w:vertAlign w:val="superscript"/>
        </w:rPr>
        <w:t xml:space="preserve"> </w:t>
      </w:r>
      <w:r>
        <w:t>in the fasting or postprandial release of total PYY and PYY</w:t>
      </w:r>
      <w:r>
        <w:rPr>
          <w:vertAlign w:val="subscript"/>
        </w:rPr>
        <w:t>3–36</w:t>
      </w:r>
      <w:r>
        <w:rPr>
          <w:vertAlign w:val="superscript"/>
        </w:rPr>
        <w:t xml:space="preserve"> </w:t>
      </w:r>
      <w:r>
        <w:t>were examined by two-way ANOVA followed by Bonferroni’s</w:t>
      </w:r>
      <w:r>
        <w:rPr>
          <w:vertAlign w:val="superscript"/>
        </w:rPr>
        <w:t xml:space="preserve"> </w:t>
      </w:r>
      <w:r>
        <w:t>multiple comparison tests. Correlations of PYY levels with age,</w:t>
      </w:r>
      <w:r>
        <w:rPr>
          <w:vertAlign w:val="superscript"/>
        </w:rPr>
        <w:t xml:space="preserve"> </w:t>
      </w:r>
      <w:r>
        <w:t>BMI, leptin, and leptin-binding protein levels were analyzed</w:t>
      </w:r>
      <w:r>
        <w:rPr>
          <w:vertAlign w:val="superscript"/>
        </w:rPr>
        <w:t xml:space="preserve"> </w:t>
      </w:r>
      <w:r>
        <w:t>by two-tailed Pearson correlation. All statistical analyses</w:t>
      </w:r>
      <w:r>
        <w:rPr>
          <w:vertAlign w:val="superscript"/>
        </w:rPr>
        <w:t xml:space="preserve"> </w:t>
      </w:r>
      <w:r>
        <w:t>were performed using GraphPad Prism version 4.0 (GraphPad Software,</w:t>
      </w:r>
      <w:r>
        <w:rPr>
          <w:vertAlign w:val="superscript"/>
        </w:rPr>
        <w:t xml:space="preserve"> </w:t>
      </w:r>
      <w:r>
        <w:t xml:space="preserve">San Diego, CA). Results are presented as means ± </w:t>
      </w:r>
      <w:r>
        <w:rPr>
          <w:sz w:val="15"/>
          <w:szCs w:val="15"/>
        </w:rPr>
        <w:t>SEM</w:t>
      </w:r>
      <w:r>
        <w:rPr>
          <w:vertAlign w:val="superscript"/>
        </w:rPr>
        <w:t xml:space="preserve"> </w:t>
      </w:r>
      <w:r>
        <w:t>or as individual levels with median values.</w:t>
      </w:r>
      <w:r>
        <w:rPr>
          <w:vertAlign w:val="superscript"/>
        </w:rPr>
        <w:t xml:space="preserve"> </w:t>
      </w:r>
    </w:p>
    <w:tbl>
      <w:tblPr>
        <w:tblW w:w="5000" w:type="pct"/>
        <w:tblCellSpacing w:w="0" w:type="dxa"/>
        <w:shd w:val="clear" w:color="auto" w:fill="E1E1E1"/>
        <w:tblCellMar>
          <w:left w:w="0" w:type="dxa"/>
          <w:right w:w="0" w:type="dxa"/>
        </w:tblCellMar>
        <w:tblLook w:val="04A0"/>
      </w:tblPr>
      <w:tblGrid>
        <w:gridCol w:w="540"/>
        <w:gridCol w:w="10260"/>
      </w:tblGrid>
      <w:tr w:rsidR="00A60CEE" w:rsidTr="00A60CEE">
        <w:trPr>
          <w:tblCellSpacing w:w="0" w:type="dxa"/>
        </w:trPr>
        <w:tc>
          <w:tcPr>
            <w:tcW w:w="250" w:type="pct"/>
            <w:shd w:val="clear" w:color="auto" w:fill="FFFFFF"/>
            <w:vAlign w:val="center"/>
            <w:hideMark/>
          </w:tcPr>
          <w:p w:rsidR="00A60CEE" w:rsidRDefault="00A60CEE" w:rsidP="00E13FB9">
            <w:pPr>
              <w:jc w:val="both"/>
              <w:rPr>
                <w:sz w:val="24"/>
                <w:szCs w:val="24"/>
              </w:rPr>
            </w:pPr>
            <w:bookmarkStart w:id="16" w:name="SEC2"/>
            <w:bookmarkEnd w:id="16"/>
            <w:r>
              <w:rPr>
                <w:noProof/>
              </w:rPr>
              <w:drawing>
                <wp:inline distT="0" distB="0" distL="0" distR="0">
                  <wp:extent cx="95250" cy="200025"/>
                  <wp:effectExtent l="19050" t="0" r="0" b="0"/>
                  <wp:docPr id="83" name="Picture 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
                          <pic:cNvPicPr>
                            <a:picLocks noChangeAspect="1" noChangeArrowheads="1"/>
                          </pic:cNvPicPr>
                        </pic:nvPicPr>
                        <pic:blipFill>
                          <a:blip r:embed="rId94"/>
                          <a:srcRect/>
                          <a:stretch>
                            <a:fillRect/>
                          </a:stretch>
                        </pic:blipFill>
                        <pic:spPr bwMode="auto">
                          <a:xfrm>
                            <a:off x="0" y="0"/>
                            <a:ext cx="95250" cy="200025"/>
                          </a:xfrm>
                          <a:prstGeom prst="rect">
                            <a:avLst/>
                          </a:prstGeom>
                          <a:noFill/>
                          <a:ln w="9525">
                            <a:noFill/>
                            <a:miter lim="800000"/>
                            <a:headEnd/>
                            <a:tailEnd/>
                          </a:ln>
                        </pic:spPr>
                      </pic:pic>
                    </a:graphicData>
                  </a:graphic>
                </wp:inline>
              </w:drawing>
            </w:r>
          </w:p>
        </w:tc>
        <w:tc>
          <w:tcPr>
            <w:tcW w:w="4750" w:type="pct"/>
            <w:shd w:val="clear" w:color="auto" w:fill="E1E1E1"/>
            <w:vAlign w:val="center"/>
            <w:hideMark/>
          </w:tcPr>
          <w:p w:rsidR="00A60CEE" w:rsidRDefault="00A60CEE" w:rsidP="00E13FB9">
            <w:pPr>
              <w:jc w:val="both"/>
              <w:rPr>
                <w:b/>
                <w:bCs/>
                <w:sz w:val="24"/>
                <w:szCs w:val="24"/>
              </w:rPr>
            </w:pPr>
            <w:r>
              <w:rPr>
                <w:b/>
                <w:bCs/>
                <w:sz w:val="36"/>
                <w:szCs w:val="36"/>
              </w:rPr>
              <w:t xml:space="preserve">   Results </w:t>
            </w:r>
          </w:p>
        </w:tc>
      </w:tr>
    </w:tbl>
    <w:tbl>
      <w:tblPr>
        <w:tblpPr w:leftFromText="45" w:rightFromText="45" w:vertAnchor="text" w:tblpXSpec="right" w:tblpYSpec="cente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46"/>
      </w:tblGrid>
      <w:tr w:rsidR="00A60CEE" w:rsidTr="00A60C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0CEE" w:rsidRDefault="00A60CEE" w:rsidP="00E13FB9">
            <w:pPr>
              <w:jc w:val="both"/>
              <w:rPr>
                <w:b/>
                <w:bCs/>
                <w:sz w:val="24"/>
                <w:szCs w:val="24"/>
              </w:rPr>
            </w:pPr>
          </w:p>
        </w:tc>
      </w:tr>
    </w:tbl>
    <w:p w:rsidR="00A60CEE" w:rsidRDefault="00A60CEE" w:rsidP="00E13FB9">
      <w:pPr>
        <w:pStyle w:val="NormalWeb"/>
        <w:jc w:val="both"/>
      </w:pPr>
      <w:r>
        <w:t> </w:t>
      </w:r>
      <w:r>
        <w:br/>
      </w:r>
      <w:r>
        <w:rPr>
          <w:rStyle w:val="Emphasis"/>
        </w:rPr>
        <w:t>Elevated total PYY plasma levels in anorexia nervosa</w:t>
      </w:r>
      <w:r>
        <w:t xml:space="preserve"> </w:t>
      </w:r>
    </w:p>
    <w:p w:rsidR="00A60CEE" w:rsidRDefault="00A60CEE" w:rsidP="00E13FB9">
      <w:pPr>
        <w:pStyle w:val="NormalWeb"/>
        <w:jc w:val="both"/>
      </w:pPr>
      <w:r>
        <w:t>Fasting plasma total PYY in patients with anorexia nervosa were</w:t>
      </w:r>
      <w:r>
        <w:rPr>
          <w:vertAlign w:val="superscript"/>
        </w:rPr>
        <w:t xml:space="preserve"> </w:t>
      </w:r>
      <w:r>
        <w:t>80.9 ± 12.9 pg/ml (n = 18, all females; BMI, 15.4 ±</w:t>
      </w:r>
      <w:r>
        <w:rPr>
          <w:vertAlign w:val="superscript"/>
        </w:rPr>
        <w:t xml:space="preserve"> </w:t>
      </w:r>
      <w:r>
        <w:t>0.3 kg/m</w:t>
      </w:r>
      <w:r>
        <w:rPr>
          <w:vertAlign w:val="superscript"/>
        </w:rPr>
        <w:t>2</w:t>
      </w:r>
      <w:r>
        <w:t>). These values were higher than levels in healthy</w:t>
      </w:r>
      <w:r>
        <w:rPr>
          <w:vertAlign w:val="superscript"/>
        </w:rPr>
        <w:t xml:space="preserve"> </w:t>
      </w:r>
      <w:r>
        <w:t xml:space="preserve">control individuals (PYY, 52.4 ± 4.6 pg/ml, </w:t>
      </w:r>
      <w:r>
        <w:rPr>
          <w:i/>
          <w:iCs/>
        </w:rPr>
        <w:t>P</w:t>
      </w:r>
      <w:r>
        <w:t xml:space="preserve"> &lt; 0.05;</w:t>
      </w:r>
      <w:r>
        <w:rPr>
          <w:vertAlign w:val="superscript"/>
        </w:rPr>
        <w:t xml:space="preserve"> </w:t>
      </w:r>
      <w:r>
        <w:t>n = 66, 24 males, 42 females; BMI, 22.1 ± 0.2 kg/m</w:t>
      </w:r>
      <w:r>
        <w:rPr>
          <w:vertAlign w:val="superscript"/>
        </w:rPr>
        <w:t>2</w:t>
      </w:r>
      <w:r>
        <w:t>)</w:t>
      </w:r>
      <w:r>
        <w:rPr>
          <w:vertAlign w:val="superscript"/>
        </w:rPr>
        <w:t xml:space="preserve"> </w:t>
      </w:r>
      <w:r>
        <w:t>(Fig. 1</w:t>
      </w:r>
      <w:r>
        <w:rPr>
          <w:noProof/>
          <w:color w:val="0000FF"/>
        </w:rPr>
        <w:drawing>
          <wp:inline distT="0" distB="0" distL="0" distR="0">
            <wp:extent cx="76200" cy="66675"/>
            <wp:effectExtent l="19050" t="0" r="0" b="0"/>
            <wp:docPr id="91" name="Picture 91" descr="Go">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Go">
                      <a:hlinkClick r:id="rId121"/>
                    </pic:cNvPr>
                    <pic:cNvPicPr>
                      <a:picLocks noChangeAspect="1" noChangeArrowheads="1"/>
                    </pic:cNvPicPr>
                  </pic:nvPicPr>
                  <pic:blipFill>
                    <a:blip r:embed="rId122"/>
                    <a:srcRect/>
                    <a:stretch>
                      <a:fillRect/>
                    </a:stretch>
                  </pic:blipFill>
                  <pic:spPr bwMode="auto">
                    <a:xfrm>
                      <a:off x="0" y="0"/>
                      <a:ext cx="76200" cy="66675"/>
                    </a:xfrm>
                    <a:prstGeom prst="rect">
                      <a:avLst/>
                    </a:prstGeom>
                    <a:noFill/>
                    <a:ln w="9525">
                      <a:noFill/>
                      <a:miter lim="800000"/>
                      <a:headEnd/>
                      <a:tailEnd/>
                    </a:ln>
                  </pic:spPr>
                </pic:pic>
              </a:graphicData>
            </a:graphic>
          </wp:inline>
        </w:drawing>
      </w:r>
      <w:r>
        <w:t>). In response to weight gain during hospitalization</w:t>
      </w:r>
      <w:r>
        <w:rPr>
          <w:vertAlign w:val="superscript"/>
        </w:rPr>
        <w:t xml:space="preserve"> </w:t>
      </w:r>
      <w:r>
        <w:t>(</w:t>
      </w:r>
      <w:r>
        <w:rPr>
          <w:noProof/>
        </w:rPr>
        <w:drawing>
          <wp:inline distT="0" distB="0" distL="0" distR="0">
            <wp:extent cx="104775" cy="95250"/>
            <wp:effectExtent l="19050" t="0" r="9525" b="0"/>
            <wp:docPr id="92" name="Picture 92"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Delta}"/>
                    <pic:cNvPicPr>
                      <a:picLocks noChangeAspect="1" noChangeArrowheads="1"/>
                    </pic:cNvPicPr>
                  </pic:nvPicPr>
                  <pic:blipFill>
                    <a:blip r:embed="rId118"/>
                    <a:srcRect/>
                    <a:stretch>
                      <a:fillRect/>
                    </a:stretch>
                  </pic:blipFill>
                  <pic:spPr bwMode="auto">
                    <a:xfrm>
                      <a:off x="0" y="0"/>
                      <a:ext cx="104775" cy="95250"/>
                    </a:xfrm>
                    <a:prstGeom prst="rect">
                      <a:avLst/>
                    </a:prstGeom>
                    <a:noFill/>
                    <a:ln w="9525">
                      <a:noFill/>
                      <a:miter lim="800000"/>
                      <a:headEnd/>
                      <a:tailEnd/>
                    </a:ln>
                  </pic:spPr>
                </pic:pic>
              </a:graphicData>
            </a:graphic>
          </wp:inline>
        </w:drawing>
      </w:r>
      <w:r>
        <w:t>BMI, +2.8 kg/m</w:t>
      </w:r>
      <w:r>
        <w:rPr>
          <w:vertAlign w:val="superscript"/>
        </w:rPr>
        <w:t>2</w:t>
      </w:r>
      <w:r>
        <w:t xml:space="preserve">; </w:t>
      </w:r>
      <w:r>
        <w:rPr>
          <w:noProof/>
        </w:rPr>
        <w:drawing>
          <wp:inline distT="0" distB="0" distL="0" distR="0">
            <wp:extent cx="104775" cy="95250"/>
            <wp:effectExtent l="19050" t="0" r="9525" b="0"/>
            <wp:docPr id="93" name="Picture 93"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elta}"/>
                    <pic:cNvPicPr>
                      <a:picLocks noChangeAspect="1" noChangeArrowheads="1"/>
                    </pic:cNvPicPr>
                  </pic:nvPicPr>
                  <pic:blipFill>
                    <a:blip r:embed="rId118"/>
                    <a:srcRect/>
                    <a:stretch>
                      <a:fillRect/>
                    </a:stretch>
                  </pic:blipFill>
                  <pic:spPr bwMode="auto">
                    <a:xfrm>
                      <a:off x="0" y="0"/>
                      <a:ext cx="104775" cy="95250"/>
                    </a:xfrm>
                    <a:prstGeom prst="rect">
                      <a:avLst/>
                    </a:prstGeom>
                    <a:noFill/>
                    <a:ln w="9525">
                      <a:noFill/>
                      <a:miter lim="800000"/>
                      <a:headEnd/>
                      <a:tailEnd/>
                    </a:ln>
                  </pic:spPr>
                </pic:pic>
              </a:graphicData>
            </a:graphic>
          </wp:inline>
        </w:drawing>
      </w:r>
      <w:r>
        <w:t>body weight, +7.6 ± 0.5 kg), plasma</w:t>
      </w:r>
      <w:r>
        <w:rPr>
          <w:vertAlign w:val="superscript"/>
        </w:rPr>
        <w:t xml:space="preserve"> </w:t>
      </w:r>
      <w:r>
        <w:t>PYY levels did not change significantly (</w:t>
      </w:r>
      <w:r>
        <w:rPr>
          <w:i/>
          <w:iCs/>
        </w:rPr>
        <w:t>P</w:t>
      </w:r>
      <w:r>
        <w:t xml:space="preserve"> = 0.55) during weight</w:t>
      </w:r>
      <w:r>
        <w:rPr>
          <w:vertAlign w:val="superscript"/>
        </w:rPr>
        <w:t xml:space="preserve"> </w:t>
      </w:r>
      <w:r>
        <w:t>gain (PYY, 101.9 ± 16.4 pg/ml; BMI, 16.4 ± 0.3</w:t>
      </w:r>
      <w:r>
        <w:rPr>
          <w:vertAlign w:val="superscript"/>
        </w:rPr>
        <w:t xml:space="preserve"> </w:t>
      </w:r>
      <w:r>
        <w:t>kg/m</w:t>
      </w:r>
      <w:r>
        <w:rPr>
          <w:vertAlign w:val="superscript"/>
        </w:rPr>
        <w:t>2</w:t>
      </w:r>
      <w:r>
        <w:t>) and after therapy (PYY, 96.1 ± 12.4 pg/ml; BMI,</w:t>
      </w:r>
      <w:r>
        <w:rPr>
          <w:vertAlign w:val="superscript"/>
        </w:rPr>
        <w:t xml:space="preserve"> </w:t>
      </w:r>
      <w:r>
        <w:t>18.2 ± 0.4 kg/m</w:t>
      </w:r>
      <w:r>
        <w:rPr>
          <w:vertAlign w:val="superscript"/>
        </w:rPr>
        <w:t>2</w:t>
      </w:r>
      <w:r>
        <w:t>) (Fig. 2A</w:t>
      </w:r>
      <w:r>
        <w:rPr>
          <w:noProof/>
          <w:color w:val="0000FF"/>
        </w:rPr>
        <w:drawing>
          <wp:inline distT="0" distB="0" distL="0" distR="0">
            <wp:extent cx="76200" cy="66675"/>
            <wp:effectExtent l="19050" t="0" r="0" b="0"/>
            <wp:docPr id="94" name="Picture 94" descr="Go">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Go">
                      <a:hlinkClick r:id="rId123"/>
                    </pic:cNvPr>
                    <pic:cNvPicPr>
                      <a:picLocks noChangeAspect="1" noChangeArrowheads="1"/>
                    </pic:cNvPicPr>
                  </pic:nvPicPr>
                  <pic:blipFill>
                    <a:blip r:embed="rId122"/>
                    <a:srcRect/>
                    <a:stretch>
                      <a:fillRect/>
                    </a:stretch>
                  </pic:blipFill>
                  <pic:spPr bwMode="auto">
                    <a:xfrm>
                      <a:off x="0" y="0"/>
                      <a:ext cx="76200" cy="66675"/>
                    </a:xfrm>
                    <a:prstGeom prst="rect">
                      <a:avLst/>
                    </a:prstGeom>
                    <a:noFill/>
                    <a:ln w="9525">
                      <a:noFill/>
                      <a:miter lim="800000"/>
                      <a:headEnd/>
                      <a:tailEnd/>
                    </a:ln>
                  </pic:spPr>
                </pic:pic>
              </a:graphicData>
            </a:graphic>
          </wp:inline>
        </w:drawing>
      </w:r>
      <w:r>
        <w:t xml:space="preserve">; </w:t>
      </w:r>
      <w:r>
        <w:rPr>
          <w:i/>
          <w:iCs/>
        </w:rPr>
        <w:t>P</w:t>
      </w:r>
      <w:r>
        <w:t xml:space="preserve"> &lt; 0.05).</w:t>
      </w:r>
      <w:r>
        <w:rPr>
          <w:vertAlign w:val="superscript"/>
        </w:rPr>
        <w:t xml:space="preserve"> </w:t>
      </w:r>
    </w:p>
    <w:p w:rsidR="00A60CEE" w:rsidRDefault="00A60CEE" w:rsidP="00E13FB9">
      <w:pPr>
        <w:pStyle w:val="NormalWeb"/>
        <w:jc w:val="both"/>
      </w:pPr>
      <w:bookmarkStart w:id="17" w:name="F1"/>
      <w:bookmarkEnd w:id="17"/>
      <w:r>
        <w:br w:type="textWrapping" w:clear="all"/>
      </w:r>
    </w:p>
    <w:tbl>
      <w:tblPr>
        <w:tblW w:w="4750" w:type="pct"/>
        <w:jc w:val="center"/>
        <w:tblCellSpacing w:w="0" w:type="dxa"/>
        <w:tblCellMar>
          <w:left w:w="0" w:type="dxa"/>
          <w:right w:w="0" w:type="dxa"/>
        </w:tblCellMar>
        <w:tblLook w:val="04A0"/>
      </w:tblPr>
      <w:tblGrid>
        <w:gridCol w:w="10260"/>
      </w:tblGrid>
      <w:tr w:rsidR="00A60CEE" w:rsidTr="00A60CEE">
        <w:trPr>
          <w:tblCellSpacing w:w="0" w:type="dxa"/>
          <w:jc w:val="center"/>
        </w:trPr>
        <w:tc>
          <w:tcPr>
            <w:tcW w:w="0" w:type="auto"/>
            <w:shd w:val="clear" w:color="auto" w:fill="E1E1E1"/>
            <w:vAlign w:val="center"/>
            <w:hideMark/>
          </w:tcPr>
          <w:tbl>
            <w:tblPr>
              <w:tblW w:w="0" w:type="auto"/>
              <w:tblCellSpacing w:w="15" w:type="dxa"/>
              <w:tblCellMar>
                <w:top w:w="30" w:type="dxa"/>
                <w:left w:w="30" w:type="dxa"/>
                <w:bottom w:w="30" w:type="dxa"/>
                <w:right w:w="30" w:type="dxa"/>
              </w:tblCellMar>
              <w:tblLook w:val="04A0"/>
            </w:tblPr>
            <w:tblGrid>
              <w:gridCol w:w="3135"/>
              <w:gridCol w:w="7125"/>
            </w:tblGrid>
            <w:tr w:rsidR="00A60CEE">
              <w:trPr>
                <w:tblCellSpacing w:w="15" w:type="dxa"/>
              </w:trPr>
              <w:tc>
                <w:tcPr>
                  <w:tcW w:w="0" w:type="auto"/>
                  <w:shd w:val="clear" w:color="auto" w:fill="FFFFFF"/>
                  <w:hideMark/>
                </w:tcPr>
                <w:p w:rsidR="00A60CEE" w:rsidRDefault="00A60CEE" w:rsidP="00E13FB9">
                  <w:pPr>
                    <w:jc w:val="both"/>
                    <w:rPr>
                      <w:sz w:val="24"/>
                      <w:szCs w:val="24"/>
                    </w:rPr>
                  </w:pPr>
                  <w:r>
                    <w:rPr>
                      <w:noProof/>
                      <w:color w:val="0000FF"/>
                    </w:rPr>
                    <w:lastRenderedPageBreak/>
                    <w:drawing>
                      <wp:inline distT="0" distB="0" distL="0" distR="0">
                        <wp:extent cx="1905000" cy="1381125"/>
                        <wp:effectExtent l="19050" t="0" r="0" b="0"/>
                        <wp:docPr id="95" name="Picture 95" descr="Figure 1">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Figure 1">
                                  <a:hlinkClick r:id="rId124"/>
                                </pic:cNvPr>
                                <pic:cNvPicPr>
                                  <a:picLocks noChangeAspect="1" noChangeArrowheads="1"/>
                                </pic:cNvPicPr>
                              </pic:nvPicPr>
                              <pic:blipFill>
                                <a:blip r:embed="rId125"/>
                                <a:srcRect/>
                                <a:stretch>
                                  <a:fillRect/>
                                </a:stretch>
                              </pic:blipFill>
                              <pic:spPr bwMode="auto">
                                <a:xfrm>
                                  <a:off x="0" y="0"/>
                                  <a:ext cx="1905000" cy="1381125"/>
                                </a:xfrm>
                                <a:prstGeom prst="rect">
                                  <a:avLst/>
                                </a:prstGeom>
                                <a:noFill/>
                                <a:ln w="9525">
                                  <a:noFill/>
                                  <a:miter lim="800000"/>
                                  <a:headEnd/>
                                  <a:tailEnd/>
                                </a:ln>
                              </pic:spPr>
                            </pic:pic>
                          </a:graphicData>
                        </a:graphic>
                      </wp:inline>
                    </w:drawing>
                  </w:r>
                  <w:r>
                    <w:br/>
                  </w:r>
                  <w:r>
                    <w:rPr>
                      <w:rStyle w:val="Strong"/>
                    </w:rPr>
                    <w:t>View larger version</w:t>
                  </w:r>
                  <w:r>
                    <w:t xml:space="preserve"> (21K):</w:t>
                  </w:r>
                  <w:r>
                    <w:br/>
                  </w:r>
                  <w:hyperlink r:id="rId126" w:history="1">
                    <w:r>
                      <w:rPr>
                        <w:rStyle w:val="Hyperlink"/>
                      </w:rPr>
                      <w:t>[in this window]</w:t>
                    </w:r>
                  </w:hyperlink>
                  <w:r>
                    <w:br/>
                  </w:r>
                  <w:hyperlink r:id="rId127" w:tgtFrame="F1" w:history="1">
                    <w:r>
                      <w:rPr>
                        <w:rStyle w:val="Hyperlink"/>
                      </w:rPr>
                      <w:t>[in a new window]</w:t>
                    </w:r>
                  </w:hyperlink>
                  <w:r>
                    <w:br/>
                  </w:r>
                  <w:r>
                    <w:br/>
                    <w:t xml:space="preserve">  </w:t>
                  </w:r>
                </w:p>
              </w:tc>
              <w:tc>
                <w:tcPr>
                  <w:tcW w:w="0" w:type="auto"/>
                  <w:shd w:val="clear" w:color="auto" w:fill="E1E1E1"/>
                  <w:hideMark/>
                </w:tcPr>
                <w:p w:rsidR="00A60CEE" w:rsidRDefault="00A60CEE" w:rsidP="00E13FB9">
                  <w:pPr>
                    <w:jc w:val="both"/>
                    <w:rPr>
                      <w:sz w:val="24"/>
                      <w:szCs w:val="24"/>
                    </w:rPr>
                  </w:pPr>
                  <w:r>
                    <w:rPr>
                      <w:b/>
                      <w:bCs/>
                    </w:rPr>
                    <w:t>F</w:t>
                  </w:r>
                  <w:r>
                    <w:rPr>
                      <w:b/>
                      <w:bCs/>
                      <w:sz w:val="15"/>
                      <w:szCs w:val="15"/>
                    </w:rPr>
                    <w:t>IG</w:t>
                  </w:r>
                  <w:r>
                    <w:rPr>
                      <w:b/>
                      <w:bCs/>
                    </w:rPr>
                    <w:t>. 1.</w:t>
                  </w:r>
                  <w:r>
                    <w:t xml:space="preserve"> Total PYY plasma levels in obesity and anorexia nervosa. Total PYY plasma levels (pg/ml) of obese (n = 63) and morbidly obese (n = 16) patients do not differ from those of lean individuals (n = 66), but total PYY is increased in anorexia nervosa patients (n = 18). *, </w:t>
                  </w:r>
                  <w:r>
                    <w:rPr>
                      <w:i/>
                      <w:iCs/>
                    </w:rPr>
                    <w:t>P</w:t>
                  </w:r>
                  <w:r>
                    <w:t xml:space="preserve"> &lt; 0.05. Results are shown as mean ± </w:t>
                  </w:r>
                  <w:r>
                    <w:rPr>
                      <w:sz w:val="15"/>
                      <w:szCs w:val="15"/>
                    </w:rPr>
                    <w:t>SEM</w:t>
                  </w:r>
                  <w:r>
                    <w:t xml:space="preserve">. </w:t>
                  </w:r>
                </w:p>
              </w:tc>
            </w:tr>
          </w:tbl>
          <w:p w:rsidR="00A60CEE" w:rsidRDefault="00A60CEE" w:rsidP="00E13FB9">
            <w:pPr>
              <w:jc w:val="both"/>
              <w:rPr>
                <w:sz w:val="24"/>
                <w:szCs w:val="24"/>
              </w:rPr>
            </w:pPr>
          </w:p>
        </w:tc>
      </w:tr>
    </w:tbl>
    <w:p w:rsidR="00A60CEE" w:rsidRDefault="00A60CEE" w:rsidP="00E13FB9">
      <w:pPr>
        <w:jc w:val="both"/>
      </w:pPr>
      <w:r>
        <w:t> </w:t>
      </w:r>
      <w:r>
        <w:br/>
      </w:r>
      <w:bookmarkStart w:id="18" w:name="F2"/>
      <w:bookmarkEnd w:id="18"/>
      <w:r>
        <w:br w:type="textWrapping" w:clear="all"/>
      </w:r>
    </w:p>
    <w:tbl>
      <w:tblPr>
        <w:tblW w:w="4750" w:type="pct"/>
        <w:jc w:val="center"/>
        <w:tblCellSpacing w:w="0" w:type="dxa"/>
        <w:tblCellMar>
          <w:left w:w="0" w:type="dxa"/>
          <w:right w:w="0" w:type="dxa"/>
        </w:tblCellMar>
        <w:tblLook w:val="04A0"/>
      </w:tblPr>
      <w:tblGrid>
        <w:gridCol w:w="10260"/>
      </w:tblGrid>
      <w:tr w:rsidR="00A60CEE" w:rsidTr="00A60CEE">
        <w:trPr>
          <w:tblCellSpacing w:w="0" w:type="dxa"/>
          <w:jc w:val="center"/>
        </w:trPr>
        <w:tc>
          <w:tcPr>
            <w:tcW w:w="0" w:type="auto"/>
            <w:shd w:val="clear" w:color="auto" w:fill="E1E1E1"/>
            <w:vAlign w:val="center"/>
            <w:hideMark/>
          </w:tcPr>
          <w:tbl>
            <w:tblPr>
              <w:tblW w:w="0" w:type="auto"/>
              <w:tblCellSpacing w:w="15" w:type="dxa"/>
              <w:tblCellMar>
                <w:top w:w="30" w:type="dxa"/>
                <w:left w:w="30" w:type="dxa"/>
                <w:bottom w:w="30" w:type="dxa"/>
                <w:right w:w="30" w:type="dxa"/>
              </w:tblCellMar>
              <w:tblLook w:val="04A0"/>
            </w:tblPr>
            <w:tblGrid>
              <w:gridCol w:w="2165"/>
              <w:gridCol w:w="8095"/>
            </w:tblGrid>
            <w:tr w:rsidR="00A60CEE">
              <w:trPr>
                <w:tblCellSpacing w:w="15" w:type="dxa"/>
              </w:trPr>
              <w:tc>
                <w:tcPr>
                  <w:tcW w:w="0" w:type="auto"/>
                  <w:shd w:val="clear" w:color="auto" w:fill="FFFFFF"/>
                  <w:hideMark/>
                </w:tcPr>
                <w:p w:rsidR="00A60CEE" w:rsidRDefault="00A60CEE" w:rsidP="00E13FB9">
                  <w:pPr>
                    <w:jc w:val="both"/>
                    <w:rPr>
                      <w:sz w:val="24"/>
                      <w:szCs w:val="24"/>
                    </w:rPr>
                  </w:pPr>
                  <w:r>
                    <w:rPr>
                      <w:noProof/>
                      <w:color w:val="0000FF"/>
                    </w:rPr>
                    <w:drawing>
                      <wp:inline distT="0" distB="0" distL="0" distR="0">
                        <wp:extent cx="1228725" cy="1905000"/>
                        <wp:effectExtent l="19050" t="0" r="9525" b="0"/>
                        <wp:docPr id="96" name="Picture 96" descr="Figure 2">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Figure 2">
                                  <a:hlinkClick r:id="rId128"/>
                                </pic:cNvPr>
                                <pic:cNvPicPr>
                                  <a:picLocks noChangeAspect="1" noChangeArrowheads="1"/>
                                </pic:cNvPicPr>
                              </pic:nvPicPr>
                              <pic:blipFill>
                                <a:blip r:embed="rId129"/>
                                <a:srcRect/>
                                <a:stretch>
                                  <a:fillRect/>
                                </a:stretch>
                              </pic:blipFill>
                              <pic:spPr bwMode="auto">
                                <a:xfrm>
                                  <a:off x="0" y="0"/>
                                  <a:ext cx="1228725" cy="1905000"/>
                                </a:xfrm>
                                <a:prstGeom prst="rect">
                                  <a:avLst/>
                                </a:prstGeom>
                                <a:noFill/>
                                <a:ln w="9525">
                                  <a:noFill/>
                                  <a:miter lim="800000"/>
                                  <a:headEnd/>
                                  <a:tailEnd/>
                                </a:ln>
                              </pic:spPr>
                            </pic:pic>
                          </a:graphicData>
                        </a:graphic>
                      </wp:inline>
                    </w:drawing>
                  </w:r>
                  <w:r>
                    <w:br/>
                  </w:r>
                  <w:r>
                    <w:rPr>
                      <w:rStyle w:val="Strong"/>
                    </w:rPr>
                    <w:t>View larger version</w:t>
                  </w:r>
                  <w:r>
                    <w:t xml:space="preserve"> (23K):</w:t>
                  </w:r>
                  <w:r>
                    <w:br/>
                  </w:r>
                  <w:hyperlink r:id="rId130" w:history="1">
                    <w:r>
                      <w:rPr>
                        <w:rStyle w:val="Hyperlink"/>
                      </w:rPr>
                      <w:t>[in this window]</w:t>
                    </w:r>
                  </w:hyperlink>
                  <w:r>
                    <w:br/>
                  </w:r>
                  <w:hyperlink r:id="rId131" w:tgtFrame="F2" w:history="1">
                    <w:r>
                      <w:rPr>
                        <w:rStyle w:val="Hyperlink"/>
                      </w:rPr>
                      <w:t>[in a new window]</w:t>
                    </w:r>
                  </w:hyperlink>
                  <w:r>
                    <w:br/>
                  </w:r>
                  <w:r>
                    <w:br/>
                    <w:t xml:space="preserve">  </w:t>
                  </w:r>
                </w:p>
              </w:tc>
              <w:tc>
                <w:tcPr>
                  <w:tcW w:w="0" w:type="auto"/>
                  <w:shd w:val="clear" w:color="auto" w:fill="E1E1E1"/>
                  <w:hideMark/>
                </w:tcPr>
                <w:p w:rsidR="00A60CEE" w:rsidRDefault="00A60CEE" w:rsidP="00E13FB9">
                  <w:pPr>
                    <w:jc w:val="both"/>
                    <w:rPr>
                      <w:sz w:val="24"/>
                      <w:szCs w:val="24"/>
                    </w:rPr>
                  </w:pPr>
                  <w:r>
                    <w:rPr>
                      <w:b/>
                      <w:bCs/>
                    </w:rPr>
                    <w:t>F</w:t>
                  </w:r>
                  <w:r>
                    <w:rPr>
                      <w:b/>
                      <w:bCs/>
                      <w:sz w:val="15"/>
                      <w:szCs w:val="15"/>
                    </w:rPr>
                    <w:t>IG</w:t>
                  </w:r>
                  <w:r>
                    <w:rPr>
                      <w:b/>
                      <w:bCs/>
                    </w:rPr>
                    <w:t>. 2.</w:t>
                  </w:r>
                  <w:r>
                    <w:t xml:space="preserve"> Effect of weight changes in anorexia nervosa and obese patients on total PYY plasma levels. A, Individual and median total PYY plasma levels (pg/ml) of anorexia nervosa patients (n = 18) before, during, and after therapeutic weight gain during a stay in a hospital specializing in the diagnosis and treatment of anorexia nervosa and psychosomatic diseases. B, Individual and median total PYY plasma levels (pg/ml) of obese patients (n = 17) before and after weight loss during an 8-week outpatient weight-loss program. </w:t>
                  </w:r>
                </w:p>
              </w:tc>
            </w:tr>
          </w:tbl>
          <w:p w:rsidR="00A60CEE" w:rsidRDefault="00A60CEE" w:rsidP="00E13FB9">
            <w:pPr>
              <w:jc w:val="both"/>
              <w:rPr>
                <w:sz w:val="24"/>
                <w:szCs w:val="24"/>
              </w:rPr>
            </w:pPr>
          </w:p>
        </w:tc>
      </w:tr>
    </w:tbl>
    <w:p w:rsidR="00A60CEE" w:rsidRDefault="00A60CEE" w:rsidP="00E13FB9">
      <w:pPr>
        <w:jc w:val="both"/>
      </w:pPr>
      <w:r>
        <w:t> </w:t>
      </w:r>
      <w:r>
        <w:br/>
      </w:r>
      <w:r>
        <w:rPr>
          <w:rStyle w:val="Emphasis"/>
        </w:rPr>
        <w:t>Total PYY plasma levels in obesity and morbid obesity</w:t>
      </w:r>
      <w:r>
        <w:t xml:space="preserve"> </w:t>
      </w:r>
    </w:p>
    <w:p w:rsidR="00A60CEE" w:rsidRDefault="00A60CEE" w:rsidP="00E13FB9">
      <w:pPr>
        <w:pStyle w:val="NormalWeb"/>
        <w:jc w:val="both"/>
      </w:pPr>
      <w:r>
        <w:t>Total PYY plasma levels of patients with obesity (PYY, 43.9</w:t>
      </w:r>
      <w:r>
        <w:rPr>
          <w:vertAlign w:val="superscript"/>
        </w:rPr>
        <w:t xml:space="preserve"> </w:t>
      </w:r>
      <w:r>
        <w:t>± 3.8 pg/ml; n = 63, 20 males, 43 females; BMI, 32.7</w:t>
      </w:r>
      <w:r>
        <w:rPr>
          <w:vertAlign w:val="superscript"/>
        </w:rPr>
        <w:t xml:space="preserve"> </w:t>
      </w:r>
      <w:r>
        <w:t>± 0.3 kg/m</w:t>
      </w:r>
      <w:r>
        <w:rPr>
          <w:vertAlign w:val="superscript"/>
        </w:rPr>
        <w:t>2</w:t>
      </w:r>
      <w:r>
        <w:t>) or morbid obesity (PYY, 45.6 ± 11.2</w:t>
      </w:r>
      <w:r>
        <w:rPr>
          <w:vertAlign w:val="superscript"/>
        </w:rPr>
        <w:t xml:space="preserve"> </w:t>
      </w:r>
      <w:r>
        <w:t>pg/ml; n = 16, one male, 15 females; BMI, 44.5 ± 0.9</w:t>
      </w:r>
      <w:r>
        <w:rPr>
          <w:vertAlign w:val="superscript"/>
        </w:rPr>
        <w:t xml:space="preserve"> </w:t>
      </w:r>
      <w:r>
        <w:t>kg/m</w:t>
      </w:r>
      <w:r>
        <w:rPr>
          <w:vertAlign w:val="superscript"/>
        </w:rPr>
        <w:t>2</w:t>
      </w:r>
      <w:r>
        <w:t>) did not differ from levels of healthy control individuals</w:t>
      </w:r>
      <w:r>
        <w:rPr>
          <w:vertAlign w:val="superscript"/>
        </w:rPr>
        <w:t xml:space="preserve"> </w:t>
      </w:r>
      <w:r>
        <w:t>(PYY, 52.4 ± 4.6 pg/ml; n = 66, 24 males, 42 females;</w:t>
      </w:r>
      <w:r>
        <w:rPr>
          <w:vertAlign w:val="superscript"/>
        </w:rPr>
        <w:t xml:space="preserve"> </w:t>
      </w:r>
      <w:r>
        <w:t>BMI, 22.1 ± 0.2 kg/m</w:t>
      </w:r>
      <w:r>
        <w:rPr>
          <w:vertAlign w:val="superscript"/>
        </w:rPr>
        <w:t>2</w:t>
      </w:r>
      <w:r>
        <w:t xml:space="preserve">; </w:t>
      </w:r>
      <w:r>
        <w:rPr>
          <w:i/>
          <w:iCs/>
        </w:rPr>
        <w:t>P</w:t>
      </w:r>
      <w:r>
        <w:t xml:space="preserve"> &gt; 0.05) (Fig. 1</w:t>
      </w:r>
      <w:r>
        <w:rPr>
          <w:noProof/>
          <w:color w:val="0000FF"/>
        </w:rPr>
        <w:drawing>
          <wp:inline distT="0" distB="0" distL="0" distR="0">
            <wp:extent cx="76200" cy="66675"/>
            <wp:effectExtent l="19050" t="0" r="0" b="0"/>
            <wp:docPr id="97" name="Picture 97" descr="Go">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Go">
                      <a:hlinkClick r:id="rId121"/>
                    </pic:cNvPr>
                    <pic:cNvPicPr>
                      <a:picLocks noChangeAspect="1" noChangeArrowheads="1"/>
                    </pic:cNvPicPr>
                  </pic:nvPicPr>
                  <pic:blipFill>
                    <a:blip r:embed="rId132"/>
                    <a:srcRect/>
                    <a:stretch>
                      <a:fillRect/>
                    </a:stretch>
                  </pic:blipFill>
                  <pic:spPr bwMode="auto">
                    <a:xfrm>
                      <a:off x="0" y="0"/>
                      <a:ext cx="76200" cy="66675"/>
                    </a:xfrm>
                    <a:prstGeom prst="rect">
                      <a:avLst/>
                    </a:prstGeom>
                    <a:noFill/>
                    <a:ln w="9525">
                      <a:noFill/>
                      <a:miter lim="800000"/>
                      <a:headEnd/>
                      <a:tailEnd/>
                    </a:ln>
                  </pic:spPr>
                </pic:pic>
              </a:graphicData>
            </a:graphic>
          </wp:inline>
        </w:drawing>
      </w:r>
      <w:r>
        <w:t>). In response</w:t>
      </w:r>
      <w:r>
        <w:rPr>
          <w:vertAlign w:val="superscript"/>
        </w:rPr>
        <w:t xml:space="preserve"> </w:t>
      </w:r>
      <w:r>
        <w:t>to therapeutic weight loss during an 8-wk outpatient weight-loss</w:t>
      </w:r>
      <w:r>
        <w:rPr>
          <w:vertAlign w:val="superscript"/>
        </w:rPr>
        <w:t xml:space="preserve"> </w:t>
      </w:r>
      <w:r>
        <w:t xml:space="preserve">program (mean </w:t>
      </w:r>
      <w:r>
        <w:rPr>
          <w:noProof/>
        </w:rPr>
        <w:drawing>
          <wp:inline distT="0" distB="0" distL="0" distR="0">
            <wp:extent cx="104775" cy="95250"/>
            <wp:effectExtent l="19050" t="0" r="9525" b="0"/>
            <wp:docPr id="98" name="Picture 98"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Delta}"/>
                    <pic:cNvPicPr>
                      <a:picLocks noChangeAspect="1" noChangeArrowheads="1"/>
                    </pic:cNvPicPr>
                  </pic:nvPicPr>
                  <pic:blipFill>
                    <a:blip r:embed="rId118"/>
                    <a:srcRect/>
                    <a:stretch>
                      <a:fillRect/>
                    </a:stretch>
                  </pic:blipFill>
                  <pic:spPr bwMode="auto">
                    <a:xfrm>
                      <a:off x="0" y="0"/>
                      <a:ext cx="104775" cy="95250"/>
                    </a:xfrm>
                    <a:prstGeom prst="rect">
                      <a:avLst/>
                    </a:prstGeom>
                    <a:noFill/>
                    <a:ln w="9525">
                      <a:noFill/>
                      <a:miter lim="800000"/>
                      <a:headEnd/>
                      <a:tailEnd/>
                    </a:ln>
                  </pic:spPr>
                </pic:pic>
              </a:graphicData>
            </a:graphic>
          </wp:inline>
        </w:drawing>
      </w:r>
      <w:r>
        <w:t>BMI, –1.9 kg/m</w:t>
      </w:r>
      <w:r>
        <w:rPr>
          <w:vertAlign w:val="superscript"/>
        </w:rPr>
        <w:t>2</w:t>
      </w:r>
      <w:r>
        <w:t xml:space="preserve">; </w:t>
      </w:r>
      <w:r>
        <w:rPr>
          <w:i/>
          <w:iCs/>
        </w:rPr>
        <w:t>P</w:t>
      </w:r>
      <w:r>
        <w:t xml:space="preserve"> &lt; 0.0001; n = 17,</w:t>
      </w:r>
      <w:r>
        <w:rPr>
          <w:vertAlign w:val="superscript"/>
        </w:rPr>
        <w:t xml:space="preserve"> </w:t>
      </w:r>
      <w:r>
        <w:t>three males, 14 females), total PYY plasma levels of obese subjects</w:t>
      </w:r>
      <w:r>
        <w:rPr>
          <w:vertAlign w:val="superscript"/>
        </w:rPr>
        <w:t xml:space="preserve"> </w:t>
      </w:r>
      <w:r>
        <w:t>decreased significantly from 43.8 ± 9.4 to 30.8 ±</w:t>
      </w:r>
      <w:r>
        <w:rPr>
          <w:vertAlign w:val="superscript"/>
        </w:rPr>
        <w:t xml:space="preserve"> </w:t>
      </w:r>
      <w:r>
        <w:t>5.7 pg/ml (</w:t>
      </w:r>
      <w:r>
        <w:rPr>
          <w:i/>
          <w:iCs/>
        </w:rPr>
        <w:t>P</w:t>
      </w:r>
      <w:r>
        <w:t xml:space="preserve"> = 0.04; Fig. 2B</w:t>
      </w:r>
      <w:r>
        <w:rPr>
          <w:noProof/>
          <w:color w:val="0000FF"/>
        </w:rPr>
        <w:drawing>
          <wp:inline distT="0" distB="0" distL="0" distR="0">
            <wp:extent cx="76200" cy="66675"/>
            <wp:effectExtent l="19050" t="0" r="0" b="0"/>
            <wp:docPr id="99" name="Picture 99" descr="Go">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Go">
                      <a:hlinkClick r:id="rId123"/>
                    </pic:cNvPr>
                    <pic:cNvPicPr>
                      <a:picLocks noChangeAspect="1" noChangeArrowheads="1"/>
                    </pic:cNvPicPr>
                  </pic:nvPicPr>
                  <pic:blipFill>
                    <a:blip r:embed="rId132"/>
                    <a:srcRect/>
                    <a:stretch>
                      <a:fillRect/>
                    </a:stretch>
                  </pic:blipFill>
                  <pic:spPr bwMode="auto">
                    <a:xfrm>
                      <a:off x="0" y="0"/>
                      <a:ext cx="76200" cy="66675"/>
                    </a:xfrm>
                    <a:prstGeom prst="rect">
                      <a:avLst/>
                    </a:prstGeom>
                    <a:noFill/>
                    <a:ln w="9525">
                      <a:noFill/>
                      <a:miter lim="800000"/>
                      <a:headEnd/>
                      <a:tailEnd/>
                    </a:ln>
                  </pic:spPr>
                </pic:pic>
              </a:graphicData>
            </a:graphic>
          </wp:inline>
        </w:drawing>
      </w:r>
      <w:r>
        <w:t>).</w:t>
      </w:r>
      <w:r>
        <w:rPr>
          <w:vertAlign w:val="superscript"/>
        </w:rPr>
        <w:t xml:space="preserve"> </w:t>
      </w:r>
    </w:p>
    <w:p w:rsidR="00A60CEE" w:rsidRDefault="00A60CEE" w:rsidP="00E13FB9">
      <w:pPr>
        <w:pStyle w:val="NormalWeb"/>
        <w:jc w:val="both"/>
      </w:pPr>
      <w:r>
        <w:rPr>
          <w:rStyle w:val="Emphasis"/>
        </w:rPr>
        <w:t>PYY</w:t>
      </w:r>
      <w:r>
        <w:rPr>
          <w:rStyle w:val="Emphasis"/>
          <w:vertAlign w:val="subscript"/>
        </w:rPr>
        <w:t>3–36</w:t>
      </w:r>
      <w:r>
        <w:rPr>
          <w:rStyle w:val="Emphasis"/>
        </w:rPr>
        <w:t xml:space="preserve"> plasma levels in lean and obese individuals</w:t>
      </w:r>
      <w:r>
        <w:t xml:space="preserve"> </w:t>
      </w:r>
    </w:p>
    <w:p w:rsidR="00A60CEE" w:rsidRDefault="00A60CEE" w:rsidP="00E13FB9">
      <w:pPr>
        <w:pStyle w:val="NormalWeb"/>
        <w:jc w:val="both"/>
      </w:pPr>
      <w:r>
        <w:lastRenderedPageBreak/>
        <w:t>Fasting plasma levels of PYY</w:t>
      </w:r>
      <w:r>
        <w:rPr>
          <w:vertAlign w:val="subscript"/>
        </w:rPr>
        <w:t>3–36</w:t>
      </w:r>
      <w:r>
        <w:t xml:space="preserve"> were 91.5 ± 6.9</w:t>
      </w:r>
      <w:r>
        <w:rPr>
          <w:vertAlign w:val="superscript"/>
        </w:rPr>
        <w:t xml:space="preserve"> </w:t>
      </w:r>
      <w:r>
        <w:t>pg/ml in obese female subjects (n = 17; BMI, 31.1 ± 0.5</w:t>
      </w:r>
      <w:r>
        <w:rPr>
          <w:vertAlign w:val="superscript"/>
        </w:rPr>
        <w:t xml:space="preserve"> </w:t>
      </w:r>
      <w:r>
        <w:t>kg/m</w:t>
      </w:r>
      <w:r>
        <w:rPr>
          <w:vertAlign w:val="superscript"/>
        </w:rPr>
        <w:t>2</w:t>
      </w:r>
      <w:r>
        <w:t>) and did not differ from a group of lean female controls</w:t>
      </w:r>
      <w:r>
        <w:rPr>
          <w:vertAlign w:val="superscript"/>
        </w:rPr>
        <w:t xml:space="preserve"> </w:t>
      </w:r>
      <w:r>
        <w:t>(96.2 ± 8.6 pg/ml; n = 17; BMI, 22.0 ± 0.5 kg/m</w:t>
      </w:r>
      <w:r>
        <w:rPr>
          <w:vertAlign w:val="superscript"/>
        </w:rPr>
        <w:t>2</w:t>
      </w:r>
      <w:r>
        <w:t>;</w:t>
      </w:r>
      <w:r>
        <w:rPr>
          <w:vertAlign w:val="superscript"/>
        </w:rPr>
        <w:t xml:space="preserve"> </w:t>
      </w:r>
      <w:r>
        <w:rPr>
          <w:i/>
          <w:iCs/>
        </w:rPr>
        <w:t>P</w:t>
      </w:r>
      <w:r>
        <w:t xml:space="preserve"> = 0.68) (Fig. 3</w:t>
      </w:r>
      <w:r>
        <w:rPr>
          <w:noProof/>
          <w:color w:val="0000FF"/>
        </w:rPr>
        <w:drawing>
          <wp:inline distT="0" distB="0" distL="0" distR="0">
            <wp:extent cx="76200" cy="66675"/>
            <wp:effectExtent l="19050" t="0" r="0" b="0"/>
            <wp:docPr id="100" name="Picture 100" descr="Go">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Go">
                      <a:hlinkClick r:id="rId133"/>
                    </pic:cNvPr>
                    <pic:cNvPicPr>
                      <a:picLocks noChangeAspect="1" noChangeArrowheads="1"/>
                    </pic:cNvPicPr>
                  </pic:nvPicPr>
                  <pic:blipFill>
                    <a:blip r:embed="rId122"/>
                    <a:srcRect/>
                    <a:stretch>
                      <a:fillRect/>
                    </a:stretch>
                  </pic:blipFill>
                  <pic:spPr bwMode="auto">
                    <a:xfrm>
                      <a:off x="0" y="0"/>
                      <a:ext cx="76200" cy="66675"/>
                    </a:xfrm>
                    <a:prstGeom prst="rect">
                      <a:avLst/>
                    </a:prstGeom>
                    <a:noFill/>
                    <a:ln w="9525">
                      <a:noFill/>
                      <a:miter lim="800000"/>
                      <a:headEnd/>
                      <a:tailEnd/>
                    </a:ln>
                  </pic:spPr>
                </pic:pic>
              </a:graphicData>
            </a:graphic>
          </wp:inline>
        </w:drawing>
      </w:r>
      <w:r>
        <w:t>).</w:t>
      </w:r>
      <w:r>
        <w:rPr>
          <w:vertAlign w:val="superscript"/>
        </w:rPr>
        <w:t xml:space="preserve"> </w:t>
      </w:r>
    </w:p>
    <w:p w:rsidR="00A60CEE" w:rsidRDefault="00A60CEE" w:rsidP="00E13FB9">
      <w:pPr>
        <w:pStyle w:val="NormalWeb"/>
        <w:jc w:val="both"/>
      </w:pPr>
      <w:bookmarkStart w:id="19" w:name="F3"/>
      <w:bookmarkEnd w:id="19"/>
      <w:r>
        <w:br w:type="textWrapping" w:clear="all"/>
      </w:r>
    </w:p>
    <w:tbl>
      <w:tblPr>
        <w:tblW w:w="4750" w:type="pct"/>
        <w:jc w:val="center"/>
        <w:tblCellSpacing w:w="0" w:type="dxa"/>
        <w:tblCellMar>
          <w:left w:w="0" w:type="dxa"/>
          <w:right w:w="0" w:type="dxa"/>
        </w:tblCellMar>
        <w:tblLook w:val="04A0"/>
      </w:tblPr>
      <w:tblGrid>
        <w:gridCol w:w="10260"/>
      </w:tblGrid>
      <w:tr w:rsidR="00A60CEE" w:rsidTr="00A60CEE">
        <w:trPr>
          <w:tblCellSpacing w:w="0" w:type="dxa"/>
          <w:jc w:val="center"/>
        </w:trPr>
        <w:tc>
          <w:tcPr>
            <w:tcW w:w="0" w:type="auto"/>
            <w:shd w:val="clear" w:color="auto" w:fill="E1E1E1"/>
            <w:vAlign w:val="center"/>
            <w:hideMark/>
          </w:tcPr>
          <w:tbl>
            <w:tblPr>
              <w:tblW w:w="0" w:type="auto"/>
              <w:tblCellSpacing w:w="15" w:type="dxa"/>
              <w:tblCellMar>
                <w:top w:w="30" w:type="dxa"/>
                <w:left w:w="30" w:type="dxa"/>
                <w:bottom w:w="30" w:type="dxa"/>
                <w:right w:w="30" w:type="dxa"/>
              </w:tblCellMar>
              <w:tblLook w:val="04A0"/>
            </w:tblPr>
            <w:tblGrid>
              <w:gridCol w:w="3135"/>
              <w:gridCol w:w="7125"/>
            </w:tblGrid>
            <w:tr w:rsidR="00A60CEE">
              <w:trPr>
                <w:tblCellSpacing w:w="15" w:type="dxa"/>
              </w:trPr>
              <w:tc>
                <w:tcPr>
                  <w:tcW w:w="0" w:type="auto"/>
                  <w:shd w:val="clear" w:color="auto" w:fill="FFFFFF"/>
                  <w:hideMark/>
                </w:tcPr>
                <w:p w:rsidR="00A60CEE" w:rsidRDefault="00A60CEE" w:rsidP="00E13FB9">
                  <w:pPr>
                    <w:jc w:val="both"/>
                    <w:rPr>
                      <w:sz w:val="24"/>
                      <w:szCs w:val="24"/>
                    </w:rPr>
                  </w:pPr>
                  <w:r>
                    <w:rPr>
                      <w:noProof/>
                      <w:color w:val="0000FF"/>
                    </w:rPr>
                    <w:drawing>
                      <wp:inline distT="0" distB="0" distL="0" distR="0">
                        <wp:extent cx="1905000" cy="1514475"/>
                        <wp:effectExtent l="19050" t="0" r="0" b="0"/>
                        <wp:docPr id="101" name="Picture 101" descr="Figure 3">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Figure 3">
                                  <a:hlinkClick r:id="rId134"/>
                                </pic:cNvPr>
                                <pic:cNvPicPr>
                                  <a:picLocks noChangeAspect="1" noChangeArrowheads="1"/>
                                </pic:cNvPicPr>
                              </pic:nvPicPr>
                              <pic:blipFill>
                                <a:blip r:embed="rId135"/>
                                <a:srcRect/>
                                <a:stretch>
                                  <a:fillRect/>
                                </a:stretch>
                              </pic:blipFill>
                              <pic:spPr bwMode="auto">
                                <a:xfrm>
                                  <a:off x="0" y="0"/>
                                  <a:ext cx="1905000" cy="1514475"/>
                                </a:xfrm>
                                <a:prstGeom prst="rect">
                                  <a:avLst/>
                                </a:prstGeom>
                                <a:noFill/>
                                <a:ln w="9525">
                                  <a:noFill/>
                                  <a:miter lim="800000"/>
                                  <a:headEnd/>
                                  <a:tailEnd/>
                                </a:ln>
                              </pic:spPr>
                            </pic:pic>
                          </a:graphicData>
                        </a:graphic>
                      </wp:inline>
                    </w:drawing>
                  </w:r>
                  <w:r>
                    <w:br/>
                  </w:r>
                  <w:r>
                    <w:rPr>
                      <w:rStyle w:val="Strong"/>
                    </w:rPr>
                    <w:t>View larger version</w:t>
                  </w:r>
                  <w:r>
                    <w:t xml:space="preserve"> (25K):</w:t>
                  </w:r>
                  <w:r>
                    <w:br/>
                  </w:r>
                  <w:hyperlink r:id="rId136" w:history="1">
                    <w:r>
                      <w:rPr>
                        <w:rStyle w:val="Hyperlink"/>
                      </w:rPr>
                      <w:t>[in this window]</w:t>
                    </w:r>
                  </w:hyperlink>
                  <w:r>
                    <w:br/>
                  </w:r>
                  <w:hyperlink r:id="rId137" w:tgtFrame="F3" w:history="1">
                    <w:r>
                      <w:rPr>
                        <w:rStyle w:val="Hyperlink"/>
                      </w:rPr>
                      <w:t>[in a new window]</w:t>
                    </w:r>
                  </w:hyperlink>
                  <w:r>
                    <w:br/>
                  </w:r>
                  <w:r>
                    <w:br/>
                    <w:t xml:space="preserve">  </w:t>
                  </w:r>
                </w:p>
              </w:tc>
              <w:tc>
                <w:tcPr>
                  <w:tcW w:w="0" w:type="auto"/>
                  <w:shd w:val="clear" w:color="auto" w:fill="E1E1E1"/>
                  <w:hideMark/>
                </w:tcPr>
                <w:p w:rsidR="00A60CEE" w:rsidRDefault="00A60CEE" w:rsidP="00E13FB9">
                  <w:pPr>
                    <w:jc w:val="both"/>
                    <w:rPr>
                      <w:sz w:val="24"/>
                      <w:szCs w:val="24"/>
                    </w:rPr>
                  </w:pPr>
                  <w:r>
                    <w:rPr>
                      <w:b/>
                      <w:bCs/>
                    </w:rPr>
                    <w:t>F</w:t>
                  </w:r>
                  <w:r>
                    <w:rPr>
                      <w:b/>
                      <w:bCs/>
                      <w:sz w:val="15"/>
                      <w:szCs w:val="15"/>
                    </w:rPr>
                    <w:t>IG</w:t>
                  </w:r>
                  <w:r>
                    <w:rPr>
                      <w:b/>
                      <w:bCs/>
                    </w:rPr>
                    <w:t>. 3.</w:t>
                  </w:r>
                  <w:r>
                    <w:t xml:space="preserve"> PYY</w:t>
                  </w:r>
                  <w:r>
                    <w:rPr>
                      <w:vertAlign w:val="subscript"/>
                    </w:rPr>
                    <w:t>3–36</w:t>
                  </w:r>
                  <w:r>
                    <w:t xml:space="preserve"> plasma levels in a subset of lean controls (n = 17) and obese subjects (n = 15). Plasma samples were treated with 500 kIU aprotinin to inhibit proteolytic cleavage of (inactive) PYY</w:t>
                  </w:r>
                  <w:r>
                    <w:rPr>
                      <w:vertAlign w:val="subscript"/>
                    </w:rPr>
                    <w:t>1–36</w:t>
                  </w:r>
                  <w:r>
                    <w:t xml:space="preserve"> into (active) PYY</w:t>
                  </w:r>
                  <w:r>
                    <w:rPr>
                      <w:vertAlign w:val="subscript"/>
                    </w:rPr>
                    <w:t>3–36</w:t>
                  </w:r>
                  <w:r>
                    <w:t xml:space="preserve">. Results are shown as mean ± </w:t>
                  </w:r>
                  <w:r>
                    <w:rPr>
                      <w:sz w:val="15"/>
                      <w:szCs w:val="15"/>
                    </w:rPr>
                    <w:t>SEM</w:t>
                  </w:r>
                  <w:r>
                    <w:t xml:space="preserve">. </w:t>
                  </w:r>
                </w:p>
              </w:tc>
            </w:tr>
          </w:tbl>
          <w:p w:rsidR="00A60CEE" w:rsidRDefault="00A60CEE" w:rsidP="00E13FB9">
            <w:pPr>
              <w:jc w:val="both"/>
              <w:rPr>
                <w:sz w:val="24"/>
                <w:szCs w:val="24"/>
              </w:rPr>
            </w:pPr>
          </w:p>
        </w:tc>
      </w:tr>
    </w:tbl>
    <w:p w:rsidR="00A60CEE" w:rsidRDefault="00A60CEE" w:rsidP="00E13FB9">
      <w:pPr>
        <w:jc w:val="both"/>
      </w:pPr>
      <w:r>
        <w:t> </w:t>
      </w:r>
      <w:r>
        <w:br/>
      </w:r>
      <w:r>
        <w:rPr>
          <w:rStyle w:val="Emphasis"/>
        </w:rPr>
        <w:t>Relationship between plasma PYY levels, BMI, age, leptin levels, and leptin-binding protein levels in humans</w:t>
      </w:r>
      <w:r>
        <w:t xml:space="preserve"> </w:t>
      </w:r>
    </w:p>
    <w:p w:rsidR="00A60CEE" w:rsidRDefault="00A60CEE" w:rsidP="00E13FB9">
      <w:pPr>
        <w:pStyle w:val="NormalWeb"/>
        <w:jc w:val="both"/>
      </w:pPr>
      <w:r>
        <w:t>Total PYY plasma levels in anorectic, normal, obese, and morbidly</w:t>
      </w:r>
      <w:r>
        <w:rPr>
          <w:vertAlign w:val="superscript"/>
        </w:rPr>
        <w:t xml:space="preserve"> </w:t>
      </w:r>
      <w:r>
        <w:t>obese individuals are weakly associated with BMI (r = –0.1820;</w:t>
      </w:r>
      <w:r>
        <w:rPr>
          <w:vertAlign w:val="superscript"/>
        </w:rPr>
        <w:t xml:space="preserve"> </w:t>
      </w:r>
      <w:r>
        <w:rPr>
          <w:i/>
          <w:iCs/>
        </w:rPr>
        <w:t>P</w:t>
      </w:r>
      <w:r>
        <w:t xml:space="preserve"> = 0.0201; n = 163) (Fig. 4A</w:t>
      </w:r>
      <w:r>
        <w:rPr>
          <w:noProof/>
          <w:color w:val="0000FF"/>
        </w:rPr>
        <w:drawing>
          <wp:inline distT="0" distB="0" distL="0" distR="0">
            <wp:extent cx="76200" cy="66675"/>
            <wp:effectExtent l="19050" t="0" r="0" b="0"/>
            <wp:docPr id="102" name="Picture 102" descr="G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Go">
                      <a:hlinkClick r:id="rId138"/>
                    </pic:cNvPr>
                    <pic:cNvPicPr>
                      <a:picLocks noChangeAspect="1" noChangeArrowheads="1"/>
                    </pic:cNvPicPr>
                  </pic:nvPicPr>
                  <pic:blipFill>
                    <a:blip r:embed="rId122"/>
                    <a:srcRect/>
                    <a:stretch>
                      <a:fillRect/>
                    </a:stretch>
                  </pic:blipFill>
                  <pic:spPr bwMode="auto">
                    <a:xfrm>
                      <a:off x="0" y="0"/>
                      <a:ext cx="76200" cy="66675"/>
                    </a:xfrm>
                    <a:prstGeom prst="rect">
                      <a:avLst/>
                    </a:prstGeom>
                    <a:noFill/>
                    <a:ln w="9525">
                      <a:noFill/>
                      <a:miter lim="800000"/>
                      <a:headEnd/>
                      <a:tailEnd/>
                    </a:ln>
                  </pic:spPr>
                </pic:pic>
              </a:graphicData>
            </a:graphic>
          </wp:inline>
        </w:drawing>
      </w:r>
      <w:r>
        <w:t>) and plasma levels of leptin-binding</w:t>
      </w:r>
      <w:r>
        <w:rPr>
          <w:vertAlign w:val="superscript"/>
        </w:rPr>
        <w:t xml:space="preserve"> </w:t>
      </w:r>
      <w:r>
        <w:t xml:space="preserve">protein (r = 0.3643; </w:t>
      </w:r>
      <w:r>
        <w:rPr>
          <w:i/>
          <w:iCs/>
        </w:rPr>
        <w:t>P</w:t>
      </w:r>
      <w:r>
        <w:t xml:space="preserve"> = 0.0226) (Fig. 4D</w:t>
      </w:r>
      <w:r>
        <w:rPr>
          <w:noProof/>
          <w:color w:val="0000FF"/>
        </w:rPr>
        <w:drawing>
          <wp:inline distT="0" distB="0" distL="0" distR="0">
            <wp:extent cx="76200" cy="66675"/>
            <wp:effectExtent l="19050" t="0" r="0" b="0"/>
            <wp:docPr id="103" name="Picture 103" descr="G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Go">
                      <a:hlinkClick r:id="rId138"/>
                    </pic:cNvPr>
                    <pic:cNvPicPr>
                      <a:picLocks noChangeAspect="1" noChangeArrowheads="1"/>
                    </pic:cNvPicPr>
                  </pic:nvPicPr>
                  <pic:blipFill>
                    <a:blip r:embed="rId122"/>
                    <a:srcRect/>
                    <a:stretch>
                      <a:fillRect/>
                    </a:stretch>
                  </pic:blipFill>
                  <pic:spPr bwMode="auto">
                    <a:xfrm>
                      <a:off x="0" y="0"/>
                      <a:ext cx="76200" cy="66675"/>
                    </a:xfrm>
                    <a:prstGeom prst="rect">
                      <a:avLst/>
                    </a:prstGeom>
                    <a:noFill/>
                    <a:ln w="9525">
                      <a:noFill/>
                      <a:miter lim="800000"/>
                      <a:headEnd/>
                      <a:tailEnd/>
                    </a:ln>
                  </pic:spPr>
                </pic:pic>
              </a:graphicData>
            </a:graphic>
          </wp:inline>
        </w:drawing>
      </w:r>
      <w:r>
        <w:t>) but not with circulating</w:t>
      </w:r>
      <w:r>
        <w:rPr>
          <w:vertAlign w:val="superscript"/>
        </w:rPr>
        <w:t xml:space="preserve"> </w:t>
      </w:r>
      <w:r>
        <w:t xml:space="preserve">leptin levels (r = –0.0961; </w:t>
      </w:r>
      <w:r>
        <w:rPr>
          <w:i/>
          <w:iCs/>
        </w:rPr>
        <w:t>P</w:t>
      </w:r>
      <w:r>
        <w:t xml:space="preserve"> = 0.5606; n = 39) (Fig.</w:t>
      </w:r>
      <w:r>
        <w:rPr>
          <w:vertAlign w:val="superscript"/>
        </w:rPr>
        <w:t xml:space="preserve"> </w:t>
      </w:r>
      <w:r>
        <w:t>4C</w:t>
      </w:r>
      <w:r>
        <w:rPr>
          <w:noProof/>
          <w:color w:val="0000FF"/>
        </w:rPr>
        <w:drawing>
          <wp:inline distT="0" distB="0" distL="0" distR="0">
            <wp:extent cx="76200" cy="66675"/>
            <wp:effectExtent l="19050" t="0" r="0" b="0"/>
            <wp:docPr id="104" name="Picture 104" descr="G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Go">
                      <a:hlinkClick r:id="rId138"/>
                    </pic:cNvPr>
                    <pic:cNvPicPr>
                      <a:picLocks noChangeAspect="1" noChangeArrowheads="1"/>
                    </pic:cNvPicPr>
                  </pic:nvPicPr>
                  <pic:blipFill>
                    <a:blip r:embed="rId122"/>
                    <a:srcRect/>
                    <a:stretch>
                      <a:fillRect/>
                    </a:stretch>
                  </pic:blipFill>
                  <pic:spPr bwMode="auto">
                    <a:xfrm>
                      <a:off x="0" y="0"/>
                      <a:ext cx="76200" cy="66675"/>
                    </a:xfrm>
                    <a:prstGeom prst="rect">
                      <a:avLst/>
                    </a:prstGeom>
                    <a:noFill/>
                    <a:ln w="9525">
                      <a:noFill/>
                      <a:miter lim="800000"/>
                      <a:headEnd/>
                      <a:tailEnd/>
                    </a:ln>
                  </pic:spPr>
                </pic:pic>
              </a:graphicData>
            </a:graphic>
          </wp:inline>
        </w:drawing>
      </w:r>
      <w:r>
        <w:t xml:space="preserve">) or age (r = 0.0713l; </w:t>
      </w:r>
      <w:r>
        <w:rPr>
          <w:i/>
          <w:iCs/>
        </w:rPr>
        <w:t>P</w:t>
      </w:r>
      <w:r>
        <w:t xml:space="preserve"> = 0.6887; n = 34) (data not shown).</w:t>
      </w:r>
      <w:r>
        <w:rPr>
          <w:vertAlign w:val="superscript"/>
        </w:rPr>
        <w:t xml:space="preserve"> </w:t>
      </w:r>
      <w:r>
        <w:t>PYY</w:t>
      </w:r>
      <w:r>
        <w:rPr>
          <w:vertAlign w:val="subscript"/>
        </w:rPr>
        <w:t>3–36</w:t>
      </w:r>
      <w:r>
        <w:t xml:space="preserve"> levels are not associated with BMI (r = –0.1132;</w:t>
      </w:r>
      <w:r>
        <w:rPr>
          <w:vertAlign w:val="superscript"/>
        </w:rPr>
        <w:t xml:space="preserve"> </w:t>
      </w:r>
      <w:r>
        <w:rPr>
          <w:i/>
          <w:iCs/>
        </w:rPr>
        <w:t>P</w:t>
      </w:r>
      <w:r>
        <w:t xml:space="preserve"> = 0.5238; n = 34) (Fig. 4B</w:t>
      </w:r>
      <w:r>
        <w:rPr>
          <w:noProof/>
          <w:color w:val="0000FF"/>
        </w:rPr>
        <w:drawing>
          <wp:inline distT="0" distB="0" distL="0" distR="0">
            <wp:extent cx="76200" cy="66675"/>
            <wp:effectExtent l="19050" t="0" r="0" b="0"/>
            <wp:docPr id="105" name="Picture 105" descr="G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Go">
                      <a:hlinkClick r:id="rId138"/>
                    </pic:cNvPr>
                    <pic:cNvPicPr>
                      <a:picLocks noChangeAspect="1" noChangeArrowheads="1"/>
                    </pic:cNvPicPr>
                  </pic:nvPicPr>
                  <pic:blipFill>
                    <a:blip r:embed="rId122"/>
                    <a:srcRect/>
                    <a:stretch>
                      <a:fillRect/>
                    </a:stretch>
                  </pic:blipFill>
                  <pic:spPr bwMode="auto">
                    <a:xfrm>
                      <a:off x="0" y="0"/>
                      <a:ext cx="76200" cy="66675"/>
                    </a:xfrm>
                    <a:prstGeom prst="rect">
                      <a:avLst/>
                    </a:prstGeom>
                    <a:noFill/>
                    <a:ln w="9525">
                      <a:noFill/>
                      <a:miter lim="800000"/>
                      <a:headEnd/>
                      <a:tailEnd/>
                    </a:ln>
                  </pic:spPr>
                </pic:pic>
              </a:graphicData>
            </a:graphic>
          </wp:inline>
        </w:drawing>
      </w:r>
      <w:r>
        <w:t xml:space="preserve">) or age (r = 0.0813; </w:t>
      </w:r>
      <w:r>
        <w:rPr>
          <w:i/>
          <w:iCs/>
        </w:rPr>
        <w:t>P</w:t>
      </w:r>
      <w:r>
        <w:t xml:space="preserve"> = 0.6474;</w:t>
      </w:r>
      <w:r>
        <w:rPr>
          <w:vertAlign w:val="superscript"/>
        </w:rPr>
        <w:t xml:space="preserve"> </w:t>
      </w:r>
      <w:r>
        <w:t>n = 34; data not shown).</w:t>
      </w:r>
      <w:r>
        <w:rPr>
          <w:vertAlign w:val="superscript"/>
        </w:rPr>
        <w:t xml:space="preserve"> </w:t>
      </w:r>
    </w:p>
    <w:p w:rsidR="00A60CEE" w:rsidRDefault="00A60CEE" w:rsidP="00E13FB9">
      <w:pPr>
        <w:pStyle w:val="NormalWeb"/>
        <w:jc w:val="both"/>
      </w:pPr>
      <w:bookmarkStart w:id="20" w:name="F4"/>
      <w:bookmarkEnd w:id="20"/>
      <w:r>
        <w:br w:type="textWrapping" w:clear="all"/>
      </w:r>
    </w:p>
    <w:tbl>
      <w:tblPr>
        <w:tblW w:w="4750" w:type="pct"/>
        <w:jc w:val="center"/>
        <w:tblCellSpacing w:w="0" w:type="dxa"/>
        <w:tblCellMar>
          <w:left w:w="0" w:type="dxa"/>
          <w:right w:w="0" w:type="dxa"/>
        </w:tblCellMar>
        <w:tblLook w:val="04A0"/>
      </w:tblPr>
      <w:tblGrid>
        <w:gridCol w:w="10260"/>
      </w:tblGrid>
      <w:tr w:rsidR="00A60CEE" w:rsidTr="00A60CEE">
        <w:trPr>
          <w:tblCellSpacing w:w="0" w:type="dxa"/>
          <w:jc w:val="center"/>
        </w:trPr>
        <w:tc>
          <w:tcPr>
            <w:tcW w:w="0" w:type="auto"/>
            <w:shd w:val="clear" w:color="auto" w:fill="E1E1E1"/>
            <w:vAlign w:val="center"/>
            <w:hideMark/>
          </w:tcPr>
          <w:tbl>
            <w:tblPr>
              <w:tblW w:w="0" w:type="auto"/>
              <w:tblCellSpacing w:w="15" w:type="dxa"/>
              <w:tblCellMar>
                <w:top w:w="30" w:type="dxa"/>
                <w:left w:w="30" w:type="dxa"/>
                <w:bottom w:w="30" w:type="dxa"/>
                <w:right w:w="30" w:type="dxa"/>
              </w:tblCellMar>
              <w:tblLook w:val="04A0"/>
            </w:tblPr>
            <w:tblGrid>
              <w:gridCol w:w="3135"/>
              <w:gridCol w:w="7125"/>
            </w:tblGrid>
            <w:tr w:rsidR="00A60CEE">
              <w:trPr>
                <w:tblCellSpacing w:w="15" w:type="dxa"/>
              </w:trPr>
              <w:tc>
                <w:tcPr>
                  <w:tcW w:w="0" w:type="auto"/>
                  <w:shd w:val="clear" w:color="auto" w:fill="FFFFFF"/>
                  <w:hideMark/>
                </w:tcPr>
                <w:p w:rsidR="00A60CEE" w:rsidRDefault="00A60CEE" w:rsidP="00E13FB9">
                  <w:pPr>
                    <w:jc w:val="both"/>
                    <w:rPr>
                      <w:sz w:val="24"/>
                      <w:szCs w:val="24"/>
                    </w:rPr>
                  </w:pPr>
                  <w:r>
                    <w:rPr>
                      <w:noProof/>
                      <w:color w:val="0000FF"/>
                    </w:rPr>
                    <w:drawing>
                      <wp:inline distT="0" distB="0" distL="0" distR="0">
                        <wp:extent cx="1905000" cy="1504950"/>
                        <wp:effectExtent l="19050" t="0" r="0" b="0"/>
                        <wp:docPr id="106" name="Picture 106" descr="Figure 4">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Figure 4">
                                  <a:hlinkClick r:id="rId139"/>
                                </pic:cNvPr>
                                <pic:cNvPicPr>
                                  <a:picLocks noChangeAspect="1" noChangeArrowheads="1"/>
                                </pic:cNvPicPr>
                              </pic:nvPicPr>
                              <pic:blipFill>
                                <a:blip r:embed="rId140"/>
                                <a:srcRect/>
                                <a:stretch>
                                  <a:fillRect/>
                                </a:stretch>
                              </pic:blipFill>
                              <pic:spPr bwMode="auto">
                                <a:xfrm>
                                  <a:off x="0" y="0"/>
                                  <a:ext cx="1905000" cy="1504950"/>
                                </a:xfrm>
                                <a:prstGeom prst="rect">
                                  <a:avLst/>
                                </a:prstGeom>
                                <a:noFill/>
                                <a:ln w="9525">
                                  <a:noFill/>
                                  <a:miter lim="800000"/>
                                  <a:headEnd/>
                                  <a:tailEnd/>
                                </a:ln>
                              </pic:spPr>
                            </pic:pic>
                          </a:graphicData>
                        </a:graphic>
                      </wp:inline>
                    </w:drawing>
                  </w:r>
                  <w:r>
                    <w:br/>
                  </w:r>
                  <w:r>
                    <w:rPr>
                      <w:rStyle w:val="Strong"/>
                    </w:rPr>
                    <w:t>View larger version</w:t>
                  </w:r>
                  <w:r>
                    <w:t xml:space="preserve"> (28K):</w:t>
                  </w:r>
                  <w:r>
                    <w:br/>
                  </w:r>
                  <w:hyperlink r:id="rId141" w:history="1">
                    <w:r>
                      <w:rPr>
                        <w:rStyle w:val="Hyperlink"/>
                      </w:rPr>
                      <w:t>[in this window]</w:t>
                    </w:r>
                  </w:hyperlink>
                  <w:r>
                    <w:br/>
                  </w:r>
                  <w:hyperlink r:id="rId142" w:tgtFrame="F4" w:history="1">
                    <w:r>
                      <w:rPr>
                        <w:rStyle w:val="Hyperlink"/>
                      </w:rPr>
                      <w:t>[in a new window]</w:t>
                    </w:r>
                  </w:hyperlink>
                  <w:r>
                    <w:br/>
                  </w:r>
                  <w:r>
                    <w:br/>
                  </w:r>
                  <w:r>
                    <w:lastRenderedPageBreak/>
                    <w:t xml:space="preserve">  </w:t>
                  </w:r>
                </w:p>
              </w:tc>
              <w:tc>
                <w:tcPr>
                  <w:tcW w:w="0" w:type="auto"/>
                  <w:shd w:val="clear" w:color="auto" w:fill="E1E1E1"/>
                  <w:hideMark/>
                </w:tcPr>
                <w:p w:rsidR="00A60CEE" w:rsidRDefault="00A60CEE" w:rsidP="00E13FB9">
                  <w:pPr>
                    <w:jc w:val="both"/>
                    <w:rPr>
                      <w:sz w:val="24"/>
                      <w:szCs w:val="24"/>
                    </w:rPr>
                  </w:pPr>
                  <w:r>
                    <w:rPr>
                      <w:b/>
                      <w:bCs/>
                    </w:rPr>
                    <w:lastRenderedPageBreak/>
                    <w:t>F</w:t>
                  </w:r>
                  <w:r>
                    <w:rPr>
                      <w:b/>
                      <w:bCs/>
                      <w:sz w:val="15"/>
                      <w:szCs w:val="15"/>
                    </w:rPr>
                    <w:t>IG</w:t>
                  </w:r>
                  <w:r>
                    <w:rPr>
                      <w:b/>
                      <w:bCs/>
                    </w:rPr>
                    <w:t>. 4.</w:t>
                  </w:r>
                  <w:r>
                    <w:t xml:space="preserve"> Relationship between total PYY with BMI, leptin, and leptin-binding protein and PYY</w:t>
                  </w:r>
                  <w:r>
                    <w:rPr>
                      <w:vertAlign w:val="subscript"/>
                    </w:rPr>
                    <w:t>3–36</w:t>
                  </w:r>
                  <w:r>
                    <w:t xml:space="preserve"> with BMI. A and B, Weak inverse correlation between total PYY plasma levels (pg/ml) and BMI (n = 163; r = –0.1820; </w:t>
                  </w:r>
                  <w:r>
                    <w:rPr>
                      <w:i/>
                      <w:iCs/>
                    </w:rPr>
                    <w:t>P</w:t>
                  </w:r>
                  <w:r>
                    <w:t xml:space="preserve"> = 0.0201) (A) but no correlation between PYY</w:t>
                  </w:r>
                  <w:r>
                    <w:rPr>
                      <w:vertAlign w:val="subscript"/>
                    </w:rPr>
                    <w:t>3–36</w:t>
                  </w:r>
                  <w:r>
                    <w:t xml:space="preserve"> plasma levels (pg/ml) and BMI (n = 34; r = –0.1132; </w:t>
                  </w:r>
                  <w:r>
                    <w:rPr>
                      <w:i/>
                      <w:iCs/>
                    </w:rPr>
                    <w:t>P</w:t>
                  </w:r>
                  <w:r>
                    <w:t xml:space="preserve"> = 0.5238) (B). C, No correlation between total PYY plasma levels (pg/ml) and leptin plasma levels (n = 39; r = –0.0961; </w:t>
                  </w:r>
                  <w:r>
                    <w:rPr>
                      <w:i/>
                      <w:iCs/>
                    </w:rPr>
                    <w:t>P</w:t>
                  </w:r>
                  <w:r>
                    <w:t xml:space="preserve"> = 0.5606). D, Weak correlation between total PYY plasma levels (pg/ml) and leptin-binding protein (soluble extracellular domain of ObR-b) (n = 39; r = 0.3643; </w:t>
                  </w:r>
                  <w:r>
                    <w:rPr>
                      <w:i/>
                      <w:iCs/>
                    </w:rPr>
                    <w:t>P</w:t>
                  </w:r>
                  <w:r>
                    <w:t xml:space="preserve"> = 0.0226). </w:t>
                  </w:r>
                </w:p>
              </w:tc>
            </w:tr>
          </w:tbl>
          <w:p w:rsidR="00A60CEE" w:rsidRDefault="00A60CEE" w:rsidP="00E13FB9">
            <w:pPr>
              <w:jc w:val="both"/>
              <w:rPr>
                <w:sz w:val="24"/>
                <w:szCs w:val="24"/>
              </w:rPr>
            </w:pPr>
          </w:p>
        </w:tc>
      </w:tr>
    </w:tbl>
    <w:p w:rsidR="00A60CEE" w:rsidRDefault="00A60CEE" w:rsidP="00E13FB9">
      <w:pPr>
        <w:jc w:val="both"/>
      </w:pPr>
      <w:r>
        <w:lastRenderedPageBreak/>
        <w:t> </w:t>
      </w:r>
      <w:r>
        <w:br/>
      </w:r>
      <w:r>
        <w:rPr>
          <w:rStyle w:val="Emphasis"/>
        </w:rPr>
        <w:t>A high-calorie meal increases human plasma PYY levels</w:t>
      </w:r>
      <w:r>
        <w:t xml:space="preserve"> </w:t>
      </w:r>
    </w:p>
    <w:p w:rsidR="00A60CEE" w:rsidRDefault="00A60CEE" w:rsidP="00E13FB9">
      <w:pPr>
        <w:pStyle w:val="NormalWeb"/>
        <w:jc w:val="both"/>
      </w:pPr>
      <w:r>
        <w:t>To determine the performance of our total PYY and PYY</w:t>
      </w:r>
      <w:r>
        <w:rPr>
          <w:vertAlign w:val="subscript"/>
        </w:rPr>
        <w:t>3–36</w:t>
      </w:r>
      <w:r>
        <w:rPr>
          <w:vertAlign w:val="superscript"/>
        </w:rPr>
        <w:t xml:space="preserve"> </w:t>
      </w:r>
      <w:r>
        <w:t>assays in a setting where plasma PYY levels have been established,</w:t>
      </w:r>
      <w:r>
        <w:rPr>
          <w:vertAlign w:val="superscript"/>
        </w:rPr>
        <w:t xml:space="preserve"> </w:t>
      </w:r>
      <w:r>
        <w:t>we studied a group of lean controls before and after a meal.</w:t>
      </w:r>
      <w:r>
        <w:rPr>
          <w:vertAlign w:val="superscript"/>
        </w:rPr>
        <w:t xml:space="preserve"> </w:t>
      </w:r>
      <w:r>
        <w:t>After a high-calorie breakfast (1030 kcal), both total PYY plasma</w:t>
      </w:r>
      <w:r>
        <w:rPr>
          <w:vertAlign w:val="superscript"/>
        </w:rPr>
        <w:t xml:space="preserve"> </w:t>
      </w:r>
      <w:r>
        <w:t>levels (Fig. 5A</w:t>
      </w:r>
      <w:r>
        <w:rPr>
          <w:noProof/>
          <w:color w:val="0000FF"/>
        </w:rPr>
        <w:drawing>
          <wp:inline distT="0" distB="0" distL="0" distR="0">
            <wp:extent cx="76200" cy="66675"/>
            <wp:effectExtent l="19050" t="0" r="0" b="0"/>
            <wp:docPr id="107" name="Picture 107" descr="Go">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Go">
                      <a:hlinkClick r:id="rId143"/>
                    </pic:cNvPr>
                    <pic:cNvPicPr>
                      <a:picLocks noChangeAspect="1" noChangeArrowheads="1"/>
                    </pic:cNvPicPr>
                  </pic:nvPicPr>
                  <pic:blipFill>
                    <a:blip r:embed="rId122"/>
                    <a:srcRect/>
                    <a:stretch>
                      <a:fillRect/>
                    </a:stretch>
                  </pic:blipFill>
                  <pic:spPr bwMode="auto">
                    <a:xfrm>
                      <a:off x="0" y="0"/>
                      <a:ext cx="76200" cy="66675"/>
                    </a:xfrm>
                    <a:prstGeom prst="rect">
                      <a:avLst/>
                    </a:prstGeom>
                    <a:noFill/>
                    <a:ln w="9525">
                      <a:noFill/>
                      <a:miter lim="800000"/>
                      <a:headEnd/>
                      <a:tailEnd/>
                    </a:ln>
                  </pic:spPr>
                </pic:pic>
              </a:graphicData>
            </a:graphic>
          </wp:inline>
        </w:drawing>
      </w:r>
      <w:r>
        <w:t>) and PYY</w:t>
      </w:r>
      <w:r>
        <w:rPr>
          <w:vertAlign w:val="subscript"/>
        </w:rPr>
        <w:t>3–36</w:t>
      </w:r>
      <w:r>
        <w:t xml:space="preserve"> levels (Fig. 5B</w:t>
      </w:r>
      <w:r>
        <w:rPr>
          <w:noProof/>
          <w:color w:val="0000FF"/>
        </w:rPr>
        <w:drawing>
          <wp:inline distT="0" distB="0" distL="0" distR="0">
            <wp:extent cx="76200" cy="66675"/>
            <wp:effectExtent l="19050" t="0" r="0" b="0"/>
            <wp:docPr id="108" name="Picture 108" descr="Go">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Go">
                      <a:hlinkClick r:id="rId143"/>
                    </pic:cNvPr>
                    <pic:cNvPicPr>
                      <a:picLocks noChangeAspect="1" noChangeArrowheads="1"/>
                    </pic:cNvPicPr>
                  </pic:nvPicPr>
                  <pic:blipFill>
                    <a:blip r:embed="rId122"/>
                    <a:srcRect/>
                    <a:stretch>
                      <a:fillRect/>
                    </a:stretch>
                  </pic:blipFill>
                  <pic:spPr bwMode="auto">
                    <a:xfrm>
                      <a:off x="0" y="0"/>
                      <a:ext cx="76200" cy="66675"/>
                    </a:xfrm>
                    <a:prstGeom prst="rect">
                      <a:avLst/>
                    </a:prstGeom>
                    <a:noFill/>
                    <a:ln w="9525">
                      <a:noFill/>
                      <a:miter lim="800000"/>
                      <a:headEnd/>
                      <a:tailEnd/>
                    </a:ln>
                  </pic:spPr>
                </pic:pic>
              </a:graphicData>
            </a:graphic>
          </wp:inline>
        </w:drawing>
      </w:r>
      <w:r>
        <w:t>) significantly</w:t>
      </w:r>
      <w:r>
        <w:rPr>
          <w:vertAlign w:val="superscript"/>
        </w:rPr>
        <w:t xml:space="preserve"> </w:t>
      </w:r>
      <w:r>
        <w:t>increased by 208% (total PYY, from 81.8 ± 19.5 to 170.3</w:t>
      </w:r>
      <w:r>
        <w:rPr>
          <w:vertAlign w:val="superscript"/>
        </w:rPr>
        <w:t xml:space="preserve"> </w:t>
      </w:r>
      <w:r>
        <w:t>± 18.7 pg/ml after 120 min) and 125% (PYY</w:t>
      </w:r>
      <w:r>
        <w:rPr>
          <w:vertAlign w:val="subscript"/>
        </w:rPr>
        <w:t>3–36</w:t>
      </w:r>
      <w:r>
        <w:t>,</w:t>
      </w:r>
      <w:r>
        <w:rPr>
          <w:vertAlign w:val="superscript"/>
        </w:rPr>
        <w:t xml:space="preserve"> </w:t>
      </w:r>
      <w:r>
        <w:t>from 164.7 ± 10.5 to 206.2 ± 9.5 pg/ml after 120</w:t>
      </w:r>
      <w:r>
        <w:rPr>
          <w:vertAlign w:val="superscript"/>
        </w:rPr>
        <w:t xml:space="preserve"> </w:t>
      </w:r>
      <w:r>
        <w:t>min) in overnight fasted healthy human volunteers (n = 6; three</w:t>
      </w:r>
      <w:r>
        <w:rPr>
          <w:vertAlign w:val="superscript"/>
        </w:rPr>
        <w:t xml:space="preserve"> </w:t>
      </w:r>
      <w:r>
        <w:t>males, three females; BMI, 20.7 ± 1.1 kg/m</w:t>
      </w:r>
      <w:r>
        <w:rPr>
          <w:vertAlign w:val="superscript"/>
        </w:rPr>
        <w:t>2</w:t>
      </w:r>
      <w:r>
        <w:t>; age, 29.0</w:t>
      </w:r>
      <w:r>
        <w:rPr>
          <w:vertAlign w:val="superscript"/>
        </w:rPr>
        <w:t xml:space="preserve"> </w:t>
      </w:r>
      <w:r>
        <w:t>± 1.2 yr), as expected (</w:t>
      </w:r>
      <w:r>
        <w:rPr>
          <w:i/>
          <w:iCs/>
        </w:rPr>
        <w:t>P</w:t>
      </w:r>
      <w:r>
        <w:t xml:space="preserve"> &lt; 0.0001). On a control</w:t>
      </w:r>
      <w:r>
        <w:rPr>
          <w:vertAlign w:val="superscript"/>
        </w:rPr>
        <w:t xml:space="preserve"> </w:t>
      </w:r>
      <w:r>
        <w:t>day without ingesting a breakfast, total PYY and PYY</w:t>
      </w:r>
      <w:r>
        <w:rPr>
          <w:vertAlign w:val="subscript"/>
        </w:rPr>
        <w:t>3–36</w:t>
      </w:r>
      <w:r>
        <w:rPr>
          <w:vertAlign w:val="superscript"/>
        </w:rPr>
        <w:t xml:space="preserve"> </w:t>
      </w:r>
      <w:r>
        <w:t>levels in the same overnight fasted healthy volunteers did not</w:t>
      </w:r>
      <w:r>
        <w:rPr>
          <w:vertAlign w:val="superscript"/>
        </w:rPr>
        <w:t xml:space="preserve"> </w:t>
      </w:r>
      <w:r>
        <w:t>change (from 82.2 ± 20.9 to 62.1 ± 29.2 pg/ml</w:t>
      </w:r>
      <w:r>
        <w:rPr>
          <w:vertAlign w:val="superscript"/>
        </w:rPr>
        <w:t xml:space="preserve"> </w:t>
      </w:r>
      <w:r>
        <w:t>and 147.4 ± 8.1 to 142.7 ± 11.7 pg/ml after 120</w:t>
      </w:r>
      <w:r>
        <w:rPr>
          <w:vertAlign w:val="superscript"/>
        </w:rPr>
        <w:t xml:space="preserve"> </w:t>
      </w:r>
      <w:r>
        <w:t>min, respectively).</w:t>
      </w:r>
      <w:r>
        <w:rPr>
          <w:vertAlign w:val="superscript"/>
        </w:rPr>
        <w:t xml:space="preserve"> </w:t>
      </w:r>
    </w:p>
    <w:p w:rsidR="00A60CEE" w:rsidRDefault="00A60CEE" w:rsidP="00E13FB9">
      <w:pPr>
        <w:pStyle w:val="NormalWeb"/>
        <w:jc w:val="both"/>
      </w:pPr>
      <w:bookmarkStart w:id="21" w:name="F5"/>
      <w:bookmarkEnd w:id="21"/>
      <w:r>
        <w:br w:type="textWrapping" w:clear="all"/>
      </w:r>
    </w:p>
    <w:tbl>
      <w:tblPr>
        <w:tblW w:w="5000" w:type="pct"/>
        <w:jc w:val="center"/>
        <w:tblCellSpacing w:w="0" w:type="dxa"/>
        <w:tblCellMar>
          <w:left w:w="0" w:type="dxa"/>
          <w:right w:w="0" w:type="dxa"/>
        </w:tblCellMar>
        <w:tblLook w:val="04A0"/>
      </w:tblPr>
      <w:tblGrid>
        <w:gridCol w:w="540"/>
        <w:gridCol w:w="9720"/>
        <w:gridCol w:w="540"/>
      </w:tblGrid>
      <w:tr w:rsidR="00A60CEE" w:rsidTr="00CD661E">
        <w:trPr>
          <w:gridAfter w:val="1"/>
          <w:wAfter w:w="250" w:type="pct"/>
          <w:tblCellSpacing w:w="0" w:type="dxa"/>
          <w:jc w:val="center"/>
        </w:trPr>
        <w:tc>
          <w:tcPr>
            <w:tcW w:w="0" w:type="auto"/>
            <w:gridSpan w:val="2"/>
            <w:shd w:val="clear" w:color="auto" w:fill="E1E1E1"/>
            <w:vAlign w:val="center"/>
            <w:hideMark/>
          </w:tcPr>
          <w:tbl>
            <w:tblPr>
              <w:tblW w:w="0" w:type="auto"/>
              <w:tblCellSpacing w:w="15" w:type="dxa"/>
              <w:tblCellMar>
                <w:top w:w="30" w:type="dxa"/>
                <w:left w:w="30" w:type="dxa"/>
                <w:bottom w:w="30" w:type="dxa"/>
                <w:right w:w="30" w:type="dxa"/>
              </w:tblCellMar>
              <w:tblLook w:val="04A0"/>
            </w:tblPr>
            <w:tblGrid>
              <w:gridCol w:w="2206"/>
              <w:gridCol w:w="8054"/>
            </w:tblGrid>
            <w:tr w:rsidR="00A60CEE">
              <w:trPr>
                <w:tblCellSpacing w:w="15" w:type="dxa"/>
              </w:trPr>
              <w:tc>
                <w:tcPr>
                  <w:tcW w:w="0" w:type="auto"/>
                  <w:shd w:val="clear" w:color="auto" w:fill="FFFFFF"/>
                  <w:hideMark/>
                </w:tcPr>
                <w:p w:rsidR="00A60CEE" w:rsidRDefault="00A60CEE" w:rsidP="00E13FB9">
                  <w:pPr>
                    <w:jc w:val="both"/>
                    <w:rPr>
                      <w:sz w:val="24"/>
                      <w:szCs w:val="24"/>
                    </w:rPr>
                  </w:pPr>
                  <w:r>
                    <w:rPr>
                      <w:noProof/>
                      <w:color w:val="0000FF"/>
                    </w:rPr>
                    <w:drawing>
                      <wp:inline distT="0" distB="0" distL="0" distR="0">
                        <wp:extent cx="1247775" cy="1905000"/>
                        <wp:effectExtent l="19050" t="0" r="9525" b="0"/>
                        <wp:docPr id="109" name="Picture 109" descr="Figure 5">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Figure 5">
                                  <a:hlinkClick r:id="rId144"/>
                                </pic:cNvPr>
                                <pic:cNvPicPr>
                                  <a:picLocks noChangeAspect="1" noChangeArrowheads="1"/>
                                </pic:cNvPicPr>
                              </pic:nvPicPr>
                              <pic:blipFill>
                                <a:blip r:embed="rId145"/>
                                <a:srcRect/>
                                <a:stretch>
                                  <a:fillRect/>
                                </a:stretch>
                              </pic:blipFill>
                              <pic:spPr bwMode="auto">
                                <a:xfrm>
                                  <a:off x="0" y="0"/>
                                  <a:ext cx="1247775" cy="1905000"/>
                                </a:xfrm>
                                <a:prstGeom prst="rect">
                                  <a:avLst/>
                                </a:prstGeom>
                                <a:noFill/>
                                <a:ln w="9525">
                                  <a:noFill/>
                                  <a:miter lim="800000"/>
                                  <a:headEnd/>
                                  <a:tailEnd/>
                                </a:ln>
                              </pic:spPr>
                            </pic:pic>
                          </a:graphicData>
                        </a:graphic>
                      </wp:inline>
                    </w:drawing>
                  </w:r>
                  <w:r>
                    <w:br/>
                  </w:r>
                  <w:r>
                    <w:rPr>
                      <w:rStyle w:val="Strong"/>
                    </w:rPr>
                    <w:t>View larger version</w:t>
                  </w:r>
                  <w:r>
                    <w:t xml:space="preserve"> (21K):</w:t>
                  </w:r>
                  <w:r>
                    <w:br/>
                  </w:r>
                  <w:hyperlink r:id="rId146" w:history="1">
                    <w:r>
                      <w:rPr>
                        <w:rStyle w:val="Hyperlink"/>
                      </w:rPr>
                      <w:t>[in this window]</w:t>
                    </w:r>
                  </w:hyperlink>
                  <w:r>
                    <w:br/>
                  </w:r>
                  <w:hyperlink r:id="rId147" w:tgtFrame="F5" w:history="1">
                    <w:r>
                      <w:rPr>
                        <w:rStyle w:val="Hyperlink"/>
                      </w:rPr>
                      <w:t>[in a new window]</w:t>
                    </w:r>
                  </w:hyperlink>
                  <w:r>
                    <w:br/>
                  </w:r>
                  <w:r>
                    <w:br/>
                    <w:t xml:space="preserve">  </w:t>
                  </w:r>
                </w:p>
              </w:tc>
              <w:tc>
                <w:tcPr>
                  <w:tcW w:w="0" w:type="auto"/>
                  <w:shd w:val="clear" w:color="auto" w:fill="E1E1E1"/>
                  <w:hideMark/>
                </w:tcPr>
                <w:p w:rsidR="00A60CEE" w:rsidRDefault="00A60CEE" w:rsidP="00E13FB9">
                  <w:pPr>
                    <w:jc w:val="both"/>
                    <w:rPr>
                      <w:sz w:val="24"/>
                      <w:szCs w:val="24"/>
                    </w:rPr>
                  </w:pPr>
                  <w:r>
                    <w:rPr>
                      <w:b/>
                      <w:bCs/>
                    </w:rPr>
                    <w:t>F</w:t>
                  </w:r>
                  <w:r>
                    <w:rPr>
                      <w:b/>
                      <w:bCs/>
                      <w:sz w:val="15"/>
                      <w:szCs w:val="15"/>
                    </w:rPr>
                    <w:t>IG</w:t>
                  </w:r>
                  <w:r>
                    <w:rPr>
                      <w:b/>
                      <w:bCs/>
                    </w:rPr>
                    <w:t>. 5.</w:t>
                  </w:r>
                  <w:r>
                    <w:t xml:space="preserve"> Increased PYY levels after high-calorie meal indicate assay validity. Total PYY (A) and PYY</w:t>
                  </w:r>
                  <w:r>
                    <w:rPr>
                      <w:vertAlign w:val="subscript"/>
                    </w:rPr>
                    <w:t>3–36</w:t>
                  </w:r>
                  <w:r>
                    <w:t xml:space="preserve"> (B) plasma levels (pg/ml) significantly increased for 2 h after ingestion of a high-calorie breakfast in six healthy volunteers. *, </w:t>
                  </w:r>
                  <w:r>
                    <w:rPr>
                      <w:i/>
                      <w:iCs/>
                    </w:rPr>
                    <w:t>P</w:t>
                  </w:r>
                  <w:r>
                    <w:t xml:space="preserve"> &lt; 0.05; **, </w:t>
                  </w:r>
                  <w:r>
                    <w:rPr>
                      <w:i/>
                      <w:iCs/>
                    </w:rPr>
                    <w:t>P</w:t>
                  </w:r>
                  <w:r>
                    <w:t xml:space="preserve"> &lt; 0.01; ***, </w:t>
                  </w:r>
                  <w:r>
                    <w:rPr>
                      <w:i/>
                      <w:iCs/>
                    </w:rPr>
                    <w:t>P</w:t>
                  </w:r>
                  <w:r>
                    <w:t xml:space="preserve"> &lt; 0.001. Results are shown as mean ± </w:t>
                  </w:r>
                  <w:r>
                    <w:rPr>
                      <w:sz w:val="15"/>
                      <w:szCs w:val="15"/>
                    </w:rPr>
                    <w:t>SEM</w:t>
                  </w:r>
                  <w:r>
                    <w:t xml:space="preserve">. </w:t>
                  </w:r>
                </w:p>
              </w:tc>
            </w:tr>
          </w:tbl>
          <w:p w:rsidR="00A60CEE" w:rsidRDefault="00A60CEE" w:rsidP="00E13FB9">
            <w:pPr>
              <w:jc w:val="both"/>
              <w:rPr>
                <w:sz w:val="24"/>
                <w:szCs w:val="24"/>
              </w:rPr>
            </w:pPr>
          </w:p>
        </w:tc>
      </w:tr>
      <w:tr w:rsidR="00A60CEE" w:rsidTr="00CD661E">
        <w:tblPrEx>
          <w:jc w:val="left"/>
          <w:shd w:val="clear" w:color="auto" w:fill="E1E1E1"/>
        </w:tblPrEx>
        <w:trPr>
          <w:tblCellSpacing w:w="0" w:type="dxa"/>
        </w:trPr>
        <w:tc>
          <w:tcPr>
            <w:tcW w:w="250" w:type="pct"/>
            <w:shd w:val="clear" w:color="auto" w:fill="FFFFFF"/>
            <w:vAlign w:val="center"/>
            <w:hideMark/>
          </w:tcPr>
          <w:p w:rsidR="00A60CEE" w:rsidRDefault="00A60CEE" w:rsidP="00E13FB9">
            <w:pPr>
              <w:jc w:val="both"/>
              <w:rPr>
                <w:sz w:val="24"/>
                <w:szCs w:val="24"/>
              </w:rPr>
            </w:pPr>
            <w:r>
              <w:t> </w:t>
            </w:r>
            <w:r>
              <w:br/>
            </w:r>
            <w:bookmarkStart w:id="22" w:name="SEC3"/>
            <w:bookmarkEnd w:id="22"/>
            <w:r>
              <w:br w:type="textWrapping" w:clear="right"/>
            </w:r>
            <w:r>
              <w:rPr>
                <w:noProof/>
              </w:rPr>
              <w:drawing>
                <wp:inline distT="0" distB="0" distL="0" distR="0">
                  <wp:extent cx="95250" cy="200025"/>
                  <wp:effectExtent l="19050" t="0" r="0" b="0"/>
                  <wp:docPr id="110" name="Picture 1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 "/>
                          <pic:cNvPicPr>
                            <a:picLocks noChangeAspect="1" noChangeArrowheads="1"/>
                          </pic:cNvPicPr>
                        </pic:nvPicPr>
                        <pic:blipFill>
                          <a:blip r:embed="rId94"/>
                          <a:srcRect/>
                          <a:stretch>
                            <a:fillRect/>
                          </a:stretch>
                        </pic:blipFill>
                        <pic:spPr bwMode="auto">
                          <a:xfrm>
                            <a:off x="0" y="0"/>
                            <a:ext cx="95250" cy="200025"/>
                          </a:xfrm>
                          <a:prstGeom prst="rect">
                            <a:avLst/>
                          </a:prstGeom>
                          <a:noFill/>
                          <a:ln w="9525">
                            <a:noFill/>
                            <a:miter lim="800000"/>
                            <a:headEnd/>
                            <a:tailEnd/>
                          </a:ln>
                        </pic:spPr>
                      </pic:pic>
                    </a:graphicData>
                  </a:graphic>
                </wp:inline>
              </w:drawing>
            </w:r>
          </w:p>
        </w:tc>
        <w:tc>
          <w:tcPr>
            <w:tcW w:w="4750" w:type="pct"/>
            <w:gridSpan w:val="2"/>
            <w:shd w:val="clear" w:color="auto" w:fill="E1E1E1"/>
            <w:vAlign w:val="center"/>
            <w:hideMark/>
          </w:tcPr>
          <w:p w:rsidR="00A60CEE" w:rsidRDefault="00A60CEE" w:rsidP="00E13FB9">
            <w:pPr>
              <w:jc w:val="both"/>
              <w:rPr>
                <w:b/>
                <w:bCs/>
                <w:sz w:val="24"/>
                <w:szCs w:val="24"/>
              </w:rPr>
            </w:pPr>
            <w:r>
              <w:rPr>
                <w:b/>
                <w:bCs/>
                <w:sz w:val="36"/>
                <w:szCs w:val="36"/>
              </w:rPr>
              <w:t xml:space="preserve">   Discussion </w:t>
            </w:r>
          </w:p>
        </w:tc>
      </w:tr>
    </w:tbl>
    <w:tbl>
      <w:tblPr>
        <w:tblpPr w:leftFromText="45" w:rightFromText="45" w:vertAnchor="text" w:tblpXSpec="right" w:tblpYSpec="cente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46"/>
      </w:tblGrid>
      <w:tr w:rsidR="00A60CEE" w:rsidTr="00A60C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0CEE" w:rsidRDefault="00A60CEE" w:rsidP="00E13FB9">
            <w:pPr>
              <w:jc w:val="both"/>
              <w:rPr>
                <w:b/>
                <w:bCs/>
                <w:sz w:val="24"/>
                <w:szCs w:val="24"/>
              </w:rPr>
            </w:pPr>
          </w:p>
        </w:tc>
      </w:tr>
    </w:tbl>
    <w:p w:rsidR="00A60CEE" w:rsidRDefault="00A60CEE" w:rsidP="00E13FB9">
      <w:pPr>
        <w:jc w:val="both"/>
      </w:pPr>
      <w:r>
        <w:t> </w:t>
      </w:r>
      <w:r>
        <w:br/>
        <w:t>The initial excitement over the identification of the satiety-inducing</w:t>
      </w:r>
      <w:r>
        <w:rPr>
          <w:vertAlign w:val="superscript"/>
        </w:rPr>
        <w:t xml:space="preserve"> </w:t>
      </w:r>
      <w:r>
        <w:t>hormone leptin (</w:t>
      </w:r>
      <w:hyperlink r:id="rId148" w:anchor="R20" w:history="1">
        <w:r>
          <w:rPr>
            <w:rStyle w:val="Hyperlink"/>
          </w:rPr>
          <w:t>20</w:t>
        </w:r>
      </w:hyperlink>
      <w:r>
        <w:t xml:space="preserve">, </w:t>
      </w:r>
      <w:hyperlink r:id="rId149" w:anchor="R21" w:history="1">
        <w:r>
          <w:rPr>
            <w:rStyle w:val="Hyperlink"/>
          </w:rPr>
          <w:t>21</w:t>
        </w:r>
      </w:hyperlink>
      <w:r>
        <w:t>) or the hunger-promoting hormone ghrelin</w:t>
      </w:r>
      <w:r>
        <w:rPr>
          <w:vertAlign w:val="superscript"/>
        </w:rPr>
        <w:t xml:space="preserve"> </w:t>
      </w:r>
      <w:r>
        <w:t>(</w:t>
      </w:r>
      <w:hyperlink r:id="rId150" w:anchor="R22" w:history="1">
        <w:r>
          <w:rPr>
            <w:rStyle w:val="Hyperlink"/>
          </w:rPr>
          <w:t>22</w:t>
        </w:r>
      </w:hyperlink>
      <w:r>
        <w:t xml:space="preserve">, </w:t>
      </w:r>
      <w:hyperlink r:id="rId151" w:anchor="R23" w:history="1">
        <w:r>
          <w:rPr>
            <w:rStyle w:val="Hyperlink"/>
          </w:rPr>
          <w:t>23</w:t>
        </w:r>
      </w:hyperlink>
      <w:r>
        <w:t>) was rapidly limited by the sobering discovery that</w:t>
      </w:r>
      <w:r>
        <w:rPr>
          <w:vertAlign w:val="superscript"/>
        </w:rPr>
        <w:t xml:space="preserve"> </w:t>
      </w:r>
      <w:r>
        <w:t xml:space="preserve">in obese humans, circulating levels of leptin </w:t>
      </w:r>
      <w:r>
        <w:lastRenderedPageBreak/>
        <w:t>are high (</w:t>
      </w:r>
      <w:hyperlink r:id="rId152" w:anchor="R24" w:history="1">
        <w:r>
          <w:rPr>
            <w:rStyle w:val="Hyperlink"/>
          </w:rPr>
          <w:t>24</w:t>
        </w:r>
      </w:hyperlink>
      <w:r>
        <w:t>)</w:t>
      </w:r>
      <w:r>
        <w:rPr>
          <w:vertAlign w:val="superscript"/>
        </w:rPr>
        <w:t xml:space="preserve"> </w:t>
      </w:r>
      <w:r>
        <w:t>and blood levels of ghrelin are low. Such counterintuitive findings</w:t>
      </w:r>
      <w:r>
        <w:rPr>
          <w:vertAlign w:val="superscript"/>
        </w:rPr>
        <w:t xml:space="preserve"> </w:t>
      </w:r>
      <w:r>
        <w:t>indicated that human obesity could not be explained by hypoleptinemia</w:t>
      </w:r>
      <w:r>
        <w:rPr>
          <w:vertAlign w:val="superscript"/>
        </w:rPr>
        <w:t xml:space="preserve"> </w:t>
      </w:r>
      <w:r>
        <w:t>or hyperghrelinemia but rather caused resistance syndromes and</w:t>
      </w:r>
      <w:r>
        <w:rPr>
          <w:vertAlign w:val="superscript"/>
        </w:rPr>
        <w:t xml:space="preserve"> </w:t>
      </w:r>
      <w:r>
        <w:t>compensatory processes leading to hyperleptinemia and hypoghrelinemia.</w:t>
      </w:r>
      <w:r>
        <w:rPr>
          <w:vertAlign w:val="superscript"/>
        </w:rPr>
        <w:t xml:space="preserve"> </w:t>
      </w:r>
      <w:r>
        <w:t>Hope for a simple explanation and solution for obesity rose</w:t>
      </w:r>
      <w:r>
        <w:rPr>
          <w:vertAlign w:val="superscript"/>
        </w:rPr>
        <w:t xml:space="preserve"> </w:t>
      </w:r>
      <w:r>
        <w:t>again when two more recent publications reported not only that</w:t>
      </w:r>
      <w:r>
        <w:rPr>
          <w:vertAlign w:val="superscript"/>
        </w:rPr>
        <w:t xml:space="preserve"> </w:t>
      </w:r>
      <w:r>
        <w:t>the gut hormone PYY</w:t>
      </w:r>
      <w:r>
        <w:rPr>
          <w:vertAlign w:val="subscript"/>
        </w:rPr>
        <w:t>3–36</w:t>
      </w:r>
      <w:r>
        <w:t xml:space="preserve"> decreased food intake and body</w:t>
      </w:r>
      <w:r>
        <w:rPr>
          <w:vertAlign w:val="superscript"/>
        </w:rPr>
        <w:t xml:space="preserve"> </w:t>
      </w:r>
      <w:r>
        <w:t>weight gain in rodents (</w:t>
      </w:r>
      <w:hyperlink r:id="rId153" w:anchor="R3" w:history="1">
        <w:r>
          <w:rPr>
            <w:rStyle w:val="Hyperlink"/>
          </w:rPr>
          <w:t>3</w:t>
        </w:r>
      </w:hyperlink>
      <w:r>
        <w:t>) but also that levels of PYY were</w:t>
      </w:r>
      <w:r>
        <w:rPr>
          <w:vertAlign w:val="superscript"/>
        </w:rPr>
        <w:t xml:space="preserve"> </w:t>
      </w:r>
      <w:r>
        <w:t>found to be significantly lower in obese patients (</w:t>
      </w:r>
      <w:hyperlink r:id="rId154" w:anchor="R2" w:history="1">
        <w:r>
          <w:rPr>
            <w:rStyle w:val="Hyperlink"/>
          </w:rPr>
          <w:t>2</w:t>
        </w:r>
      </w:hyperlink>
      <w:r>
        <w:t>). The authors</w:t>
      </w:r>
      <w:r>
        <w:rPr>
          <w:vertAlign w:val="superscript"/>
        </w:rPr>
        <w:t xml:space="preserve"> </w:t>
      </w:r>
      <w:r>
        <w:t>of those studies proposed that a PYY deficiency could contribute</w:t>
      </w:r>
      <w:r>
        <w:rPr>
          <w:vertAlign w:val="superscript"/>
        </w:rPr>
        <w:t xml:space="preserve"> </w:t>
      </w:r>
      <w:r>
        <w:t>to the genesis of obesity in humans and raised the possibility</w:t>
      </w:r>
      <w:r>
        <w:rPr>
          <w:vertAlign w:val="superscript"/>
        </w:rPr>
        <w:t xml:space="preserve"> </w:t>
      </w:r>
      <w:r>
        <w:t>that a PYY replacement therapy might cure the disease along</w:t>
      </w:r>
      <w:r>
        <w:rPr>
          <w:vertAlign w:val="superscript"/>
        </w:rPr>
        <w:t xml:space="preserve"> </w:t>
      </w:r>
      <w:r>
        <w:t>with its devastating consequences such as diabetes and cardiovascular</w:t>
      </w:r>
      <w:r>
        <w:rPr>
          <w:vertAlign w:val="superscript"/>
        </w:rPr>
        <w:t xml:space="preserve"> </w:t>
      </w:r>
      <w:r>
        <w:t>diseases.</w:t>
      </w:r>
      <w:r>
        <w:rPr>
          <w:vertAlign w:val="superscript"/>
        </w:rPr>
        <w:t xml:space="preserve"> </w:t>
      </w:r>
    </w:p>
    <w:p w:rsidR="00A60CEE" w:rsidRDefault="00A60CEE" w:rsidP="00E13FB9">
      <w:pPr>
        <w:pStyle w:val="NormalWeb"/>
        <w:jc w:val="both"/>
      </w:pPr>
      <w:r>
        <w:t>In fact, follow-up studies have indicated that the body-weight-reducing</w:t>
      </w:r>
      <w:r>
        <w:rPr>
          <w:vertAlign w:val="superscript"/>
        </w:rPr>
        <w:t xml:space="preserve"> </w:t>
      </w:r>
      <w:r>
        <w:t>effects of PYY</w:t>
      </w:r>
      <w:r>
        <w:rPr>
          <w:vertAlign w:val="subscript"/>
        </w:rPr>
        <w:t>3–36</w:t>
      </w:r>
      <w:r>
        <w:t xml:space="preserve"> are limited (</w:t>
      </w:r>
      <w:hyperlink r:id="rId155" w:anchor="R7" w:history="1">
        <w:r>
          <w:rPr>
            <w:rStyle w:val="Hyperlink"/>
            <w:rFonts w:eastAsiaTheme="majorEastAsia"/>
          </w:rPr>
          <w:t>7</w:t>
        </w:r>
      </w:hyperlink>
      <w:r>
        <w:t xml:space="preserve">, </w:t>
      </w:r>
      <w:hyperlink r:id="rId156" w:anchor="R16" w:history="1">
        <w:r>
          <w:rPr>
            <w:rStyle w:val="Hyperlink"/>
            <w:rFonts w:eastAsiaTheme="majorEastAsia"/>
          </w:rPr>
          <w:t>16</w:t>
        </w:r>
      </w:hyperlink>
      <w:r>
        <w:t>), suggesting that</w:t>
      </w:r>
      <w:r>
        <w:rPr>
          <w:vertAlign w:val="superscript"/>
        </w:rPr>
        <w:t xml:space="preserve"> </w:t>
      </w:r>
      <w:r>
        <w:t>obesity is not simply a PYY-deficient state. Consistent with</w:t>
      </w:r>
      <w:r>
        <w:rPr>
          <w:vertAlign w:val="superscript"/>
        </w:rPr>
        <w:t xml:space="preserve"> </w:t>
      </w:r>
      <w:r>
        <w:t>that inference, our large series of measurements in obese subjects</w:t>
      </w:r>
      <w:r>
        <w:rPr>
          <w:vertAlign w:val="superscript"/>
        </w:rPr>
        <w:t xml:space="preserve"> </w:t>
      </w:r>
      <w:r>
        <w:t>indicate that PYY plasma levels are not low but normal in established</w:t>
      </w:r>
      <w:r>
        <w:rPr>
          <w:vertAlign w:val="superscript"/>
        </w:rPr>
        <w:t xml:space="preserve"> </w:t>
      </w:r>
      <w:r>
        <w:t>obesity. Initial studies that had detected PYY deficiency in</w:t>
      </w:r>
      <w:r>
        <w:rPr>
          <w:vertAlign w:val="superscript"/>
        </w:rPr>
        <w:t xml:space="preserve"> </w:t>
      </w:r>
      <w:r>
        <w:t>obese humans used immunoassays that recognized total PYY, a</w:t>
      </w:r>
      <w:r>
        <w:rPr>
          <w:vertAlign w:val="superscript"/>
        </w:rPr>
        <w:t xml:space="preserve"> </w:t>
      </w:r>
      <w:r>
        <w:t>measure that includes both PYY</w:t>
      </w:r>
      <w:r>
        <w:rPr>
          <w:vertAlign w:val="subscript"/>
        </w:rPr>
        <w:t>1–36</w:t>
      </w:r>
      <w:r>
        <w:t xml:space="preserve"> and PYY</w:t>
      </w:r>
      <w:r>
        <w:rPr>
          <w:vertAlign w:val="subscript"/>
        </w:rPr>
        <w:t>3–36</w:t>
      </w:r>
      <w:r>
        <w:t xml:space="preserve"> (</w:t>
      </w:r>
      <w:hyperlink r:id="rId157" w:anchor="R2" w:history="1">
        <w:r>
          <w:rPr>
            <w:rStyle w:val="Hyperlink"/>
            <w:rFonts w:eastAsiaTheme="majorEastAsia"/>
          </w:rPr>
          <w:t>2</w:t>
        </w:r>
      </w:hyperlink>
      <w:r>
        <w:t>).</w:t>
      </w:r>
      <w:r>
        <w:rPr>
          <w:vertAlign w:val="superscript"/>
        </w:rPr>
        <w:t xml:space="preserve"> </w:t>
      </w:r>
      <w:r>
        <w:t>Using the same approach, we found a significant but very weak</w:t>
      </w:r>
      <w:r>
        <w:rPr>
          <w:vertAlign w:val="superscript"/>
        </w:rPr>
        <w:t xml:space="preserve"> </w:t>
      </w:r>
      <w:r>
        <w:t>inverse correlation of BMI levels with PYY levels. However,</w:t>
      </w:r>
      <w:r>
        <w:rPr>
          <w:vertAlign w:val="superscript"/>
        </w:rPr>
        <w:t xml:space="preserve"> </w:t>
      </w:r>
      <w:r>
        <w:t>we were unable to find low levels of PYY in by far the largest</w:t>
      </w:r>
      <w:r>
        <w:rPr>
          <w:vertAlign w:val="superscript"/>
        </w:rPr>
        <w:t xml:space="preserve"> </w:t>
      </w:r>
      <w:r>
        <w:t>population of obese and morbidly obese individuals where PYY</w:t>
      </w:r>
      <w:r>
        <w:rPr>
          <w:vertAlign w:val="superscript"/>
        </w:rPr>
        <w:t xml:space="preserve"> </w:t>
      </w:r>
      <w:r>
        <w:t>levels have been studied to date. Therefore, a weak negative</w:t>
      </w:r>
      <w:r>
        <w:rPr>
          <w:vertAlign w:val="superscript"/>
        </w:rPr>
        <w:t xml:space="preserve"> </w:t>
      </w:r>
      <w:r>
        <w:t>association between circulating PYY and BMI may not be a functionally</w:t>
      </w:r>
      <w:r>
        <w:rPr>
          <w:vertAlign w:val="superscript"/>
        </w:rPr>
        <w:t xml:space="preserve"> </w:t>
      </w:r>
      <w:r>
        <w:t>meaningful observation.</w:t>
      </w:r>
      <w:r>
        <w:rPr>
          <w:vertAlign w:val="superscript"/>
        </w:rPr>
        <w:t xml:space="preserve"> </w:t>
      </w:r>
    </w:p>
    <w:p w:rsidR="00A60CEE" w:rsidRDefault="00A60CEE" w:rsidP="00E13FB9">
      <w:pPr>
        <w:pStyle w:val="NormalWeb"/>
        <w:jc w:val="both"/>
      </w:pPr>
      <w:r>
        <w:t>Nevertheless, it would be theoretically possible that the putatively</w:t>
      </w:r>
      <w:r>
        <w:rPr>
          <w:vertAlign w:val="superscript"/>
        </w:rPr>
        <w:t xml:space="preserve"> </w:t>
      </w:r>
      <w:r>
        <w:t>satiety-inducing fraction of circulating PYY, PYY</w:t>
      </w:r>
      <w:r>
        <w:rPr>
          <w:vertAlign w:val="subscript"/>
        </w:rPr>
        <w:t>3–36</w:t>
      </w:r>
      <w:r>
        <w:t>,</w:t>
      </w:r>
      <w:r>
        <w:rPr>
          <w:vertAlign w:val="superscript"/>
        </w:rPr>
        <w:t xml:space="preserve"> </w:t>
      </w:r>
      <w:r>
        <w:t>could be decreased specifically in obesity. If at the same time</w:t>
      </w:r>
      <w:r>
        <w:rPr>
          <w:vertAlign w:val="superscript"/>
        </w:rPr>
        <w:t xml:space="preserve"> </w:t>
      </w:r>
      <w:r>
        <w:t>PYY</w:t>
      </w:r>
      <w:r>
        <w:rPr>
          <w:vertAlign w:val="subscript"/>
        </w:rPr>
        <w:t>1–36</w:t>
      </w:r>
      <w:r>
        <w:t xml:space="preserve"> levels would be increased in obesity, a causal</w:t>
      </w:r>
      <w:r>
        <w:rPr>
          <w:vertAlign w:val="superscript"/>
        </w:rPr>
        <w:t xml:space="preserve"> </w:t>
      </w:r>
      <w:r>
        <w:t>role for PYY in obesity would become plausible again. We therefore</w:t>
      </w:r>
      <w:r>
        <w:rPr>
          <w:vertAlign w:val="superscript"/>
        </w:rPr>
        <w:t xml:space="preserve"> </w:t>
      </w:r>
      <w:r>
        <w:t>also specifically examined plasma concentrations of PYY</w:t>
      </w:r>
      <w:r>
        <w:rPr>
          <w:vertAlign w:val="subscript"/>
        </w:rPr>
        <w:t>3–36</w:t>
      </w:r>
      <w:r>
        <w:rPr>
          <w:vertAlign w:val="superscript"/>
        </w:rPr>
        <w:t xml:space="preserve"> </w:t>
      </w:r>
      <w:r>
        <w:t>in obese patients and control subjects using an immunoassay</w:t>
      </w:r>
      <w:r>
        <w:rPr>
          <w:vertAlign w:val="superscript"/>
        </w:rPr>
        <w:t xml:space="preserve"> </w:t>
      </w:r>
      <w:r>
        <w:t>that does not recognize PYY</w:t>
      </w:r>
      <w:r>
        <w:rPr>
          <w:vertAlign w:val="subscript"/>
        </w:rPr>
        <w:t>1–36</w:t>
      </w:r>
      <w:r>
        <w:t>. PYY</w:t>
      </w:r>
      <w:r>
        <w:rPr>
          <w:vertAlign w:val="subscript"/>
        </w:rPr>
        <w:t>3–36</w:t>
      </w:r>
      <w:r>
        <w:t xml:space="preserve"> is the</w:t>
      </w:r>
      <w:r>
        <w:rPr>
          <w:vertAlign w:val="superscript"/>
        </w:rPr>
        <w:t xml:space="preserve"> </w:t>
      </w:r>
      <w:r>
        <w:t>form of PYY that has been proposed to possess satiety-inducing</w:t>
      </w:r>
      <w:r>
        <w:rPr>
          <w:vertAlign w:val="superscript"/>
        </w:rPr>
        <w:t xml:space="preserve"> </w:t>
      </w:r>
      <w:r>
        <w:t>effects due to its relative specificity for hypothalamic NPY-Y2</w:t>
      </w:r>
      <w:r>
        <w:rPr>
          <w:vertAlign w:val="superscript"/>
        </w:rPr>
        <w:t xml:space="preserve"> </w:t>
      </w:r>
      <w:r>
        <w:t>autoreceptors. We collected samples from a subset of obese and</w:t>
      </w:r>
      <w:r>
        <w:rPr>
          <w:vertAlign w:val="superscript"/>
        </w:rPr>
        <w:t xml:space="preserve"> </w:t>
      </w:r>
      <w:r>
        <w:t>lean individuals and treated the samples with a protease inhibitor</w:t>
      </w:r>
      <w:r>
        <w:rPr>
          <w:vertAlign w:val="superscript"/>
        </w:rPr>
        <w:t xml:space="preserve"> </w:t>
      </w:r>
      <w:r>
        <w:t xml:space="preserve">to prevent </w:t>
      </w:r>
      <w:r>
        <w:rPr>
          <w:i/>
          <w:iCs/>
        </w:rPr>
        <w:t>ex vivo</w:t>
      </w:r>
      <w:r>
        <w:t xml:space="preserve"> metabolism of PYY</w:t>
      </w:r>
      <w:r>
        <w:rPr>
          <w:vertAlign w:val="subscript"/>
        </w:rPr>
        <w:t>1–36</w:t>
      </w:r>
      <w:r>
        <w:t xml:space="preserve"> and mask PYY</w:t>
      </w:r>
      <w:r>
        <w:rPr>
          <w:vertAlign w:val="subscript"/>
        </w:rPr>
        <w:t>3–36</w:t>
      </w:r>
      <w:r>
        <w:rPr>
          <w:vertAlign w:val="superscript"/>
        </w:rPr>
        <w:t xml:space="preserve"> </w:t>
      </w:r>
      <w:r>
        <w:t>deficiency in human obesity. However, no difference was found</w:t>
      </w:r>
      <w:r>
        <w:rPr>
          <w:vertAlign w:val="superscript"/>
        </w:rPr>
        <w:t xml:space="preserve"> </w:t>
      </w:r>
      <w:r>
        <w:t>between PYY</w:t>
      </w:r>
      <w:r>
        <w:rPr>
          <w:vertAlign w:val="subscript"/>
        </w:rPr>
        <w:t>3–36</w:t>
      </w:r>
      <w:r>
        <w:t xml:space="preserve"> levels from obese and lean individuals.</w:t>
      </w:r>
      <w:r>
        <w:rPr>
          <w:vertAlign w:val="superscript"/>
        </w:rPr>
        <w:t xml:space="preserve"> </w:t>
      </w:r>
    </w:p>
    <w:p w:rsidR="00A60CEE" w:rsidRDefault="00A60CEE" w:rsidP="00E13FB9">
      <w:pPr>
        <w:pStyle w:val="NormalWeb"/>
        <w:jc w:val="both"/>
      </w:pPr>
      <w:r>
        <w:t>How can the discrepancies between these observations and the</w:t>
      </w:r>
      <w:r>
        <w:rPr>
          <w:vertAlign w:val="superscript"/>
        </w:rPr>
        <w:t xml:space="preserve"> </w:t>
      </w:r>
      <w:r>
        <w:t xml:space="preserve">original findings by Batterham </w:t>
      </w:r>
      <w:r>
        <w:rPr>
          <w:i/>
          <w:iCs/>
        </w:rPr>
        <w:t>et al.</w:t>
      </w:r>
      <w:r>
        <w:t xml:space="preserve"> (</w:t>
      </w:r>
      <w:hyperlink r:id="rId158" w:anchor="R2" w:history="1">
        <w:r>
          <w:rPr>
            <w:rStyle w:val="Hyperlink"/>
            <w:rFonts w:eastAsiaTheme="majorEastAsia"/>
          </w:rPr>
          <w:t>2</w:t>
        </w:r>
      </w:hyperlink>
      <w:r>
        <w:t>) be explained? One</w:t>
      </w:r>
      <w:r>
        <w:rPr>
          <w:vertAlign w:val="superscript"/>
        </w:rPr>
        <w:t xml:space="preserve"> </w:t>
      </w:r>
      <w:r>
        <w:t>possibility would be that there are significant differences</w:t>
      </w:r>
      <w:r>
        <w:rPr>
          <w:vertAlign w:val="superscript"/>
        </w:rPr>
        <w:t xml:space="preserve"> </w:t>
      </w:r>
      <w:r>
        <w:t>between the quantification methods used. Relative changes or</w:t>
      </w:r>
      <w:r>
        <w:rPr>
          <w:vertAlign w:val="superscript"/>
        </w:rPr>
        <w:t xml:space="preserve"> </w:t>
      </w:r>
      <w:r>
        <w:t>differences in plasma PYY levels are likely to be solidly detectable</w:t>
      </w:r>
      <w:r>
        <w:rPr>
          <w:vertAlign w:val="superscript"/>
        </w:rPr>
        <w:t xml:space="preserve"> </w:t>
      </w:r>
      <w:r>
        <w:t>if quantified with the same immunoassay within one experiment.</w:t>
      </w:r>
      <w:r>
        <w:rPr>
          <w:vertAlign w:val="superscript"/>
        </w:rPr>
        <w:t xml:space="preserve"> </w:t>
      </w:r>
      <w:r>
        <w:t>However, it is unclear whether absolute concentrations of total</w:t>
      </w:r>
      <w:r>
        <w:rPr>
          <w:vertAlign w:val="superscript"/>
        </w:rPr>
        <w:t xml:space="preserve"> </w:t>
      </w:r>
      <w:r>
        <w:t>PYY or specific PYY</w:t>
      </w:r>
      <w:r>
        <w:rPr>
          <w:vertAlign w:val="subscript"/>
        </w:rPr>
        <w:t>3–36</w:t>
      </w:r>
      <w:r>
        <w:t xml:space="preserve"> can be quantified with the currently</w:t>
      </w:r>
      <w:r>
        <w:rPr>
          <w:vertAlign w:val="superscript"/>
        </w:rPr>
        <w:t xml:space="preserve"> </w:t>
      </w:r>
      <w:r>
        <w:t>available immunoassays. To date, although various suppliers</w:t>
      </w:r>
      <w:r>
        <w:rPr>
          <w:vertAlign w:val="superscript"/>
        </w:rPr>
        <w:t xml:space="preserve"> </w:t>
      </w:r>
      <w:r>
        <w:t>offer PYY detection kits, no gold standard exists for the measurement</w:t>
      </w:r>
      <w:r>
        <w:rPr>
          <w:vertAlign w:val="superscript"/>
        </w:rPr>
        <w:t xml:space="preserve"> </w:t>
      </w:r>
      <w:r>
        <w:t>of total PYY or PYY</w:t>
      </w:r>
      <w:r>
        <w:rPr>
          <w:vertAlign w:val="subscript"/>
        </w:rPr>
        <w:t>3–36</w:t>
      </w:r>
      <w:r>
        <w:t xml:space="preserve"> plasma levels; comparisons between</w:t>
      </w:r>
      <w:r>
        <w:rPr>
          <w:vertAlign w:val="superscript"/>
        </w:rPr>
        <w:t xml:space="preserve"> </w:t>
      </w:r>
      <w:r>
        <w:t>PYY measurements therefore have to be evaluated with caution.</w:t>
      </w:r>
      <w:r>
        <w:rPr>
          <w:vertAlign w:val="superscript"/>
        </w:rPr>
        <w:t xml:space="preserve"> </w:t>
      </w:r>
      <w:r>
        <w:t>To overcome this obstacle, we not only used very well established</w:t>
      </w:r>
      <w:r>
        <w:rPr>
          <w:vertAlign w:val="superscript"/>
        </w:rPr>
        <w:t xml:space="preserve"> </w:t>
      </w:r>
      <w:r>
        <w:t>and tested commercially available immunoassays, but we also</w:t>
      </w:r>
      <w:r>
        <w:rPr>
          <w:vertAlign w:val="superscript"/>
        </w:rPr>
        <w:t xml:space="preserve"> </w:t>
      </w:r>
      <w:r>
        <w:t>performed additional validation studies showing that both assays</w:t>
      </w:r>
      <w:r>
        <w:rPr>
          <w:vertAlign w:val="superscript"/>
        </w:rPr>
        <w:t xml:space="preserve"> </w:t>
      </w:r>
      <w:r>
        <w:t>detected the typical increase of PYY after a high-calorie meal.</w:t>
      </w:r>
      <w:r>
        <w:rPr>
          <w:vertAlign w:val="superscript"/>
        </w:rPr>
        <w:t xml:space="preserve"> </w:t>
      </w:r>
      <w:r>
        <w:t>Those validation studies add additional evidence that both of</w:t>
      </w:r>
      <w:r>
        <w:rPr>
          <w:vertAlign w:val="superscript"/>
        </w:rPr>
        <w:t xml:space="preserve"> </w:t>
      </w:r>
      <w:r>
        <w:t>our quantification methods were measuring exactly what the manufacturer</w:t>
      </w:r>
      <w:r>
        <w:rPr>
          <w:vertAlign w:val="superscript"/>
        </w:rPr>
        <w:t xml:space="preserve"> </w:t>
      </w:r>
      <w:r>
        <w:t>indicated. Interestingly, the same group that first reported</w:t>
      </w:r>
      <w:r>
        <w:rPr>
          <w:vertAlign w:val="superscript"/>
        </w:rPr>
        <w:t xml:space="preserve"> </w:t>
      </w:r>
      <w:r>
        <w:t>PYY deficiency in obesity (</w:t>
      </w:r>
      <w:hyperlink r:id="rId159" w:anchor="R2" w:history="1">
        <w:r>
          <w:rPr>
            <w:rStyle w:val="Hyperlink"/>
            <w:rFonts w:eastAsiaTheme="majorEastAsia"/>
          </w:rPr>
          <w:t>2</w:t>
        </w:r>
      </w:hyperlink>
      <w:r>
        <w:t>) more recently published that in</w:t>
      </w:r>
      <w:r>
        <w:rPr>
          <w:vertAlign w:val="superscript"/>
        </w:rPr>
        <w:t xml:space="preserve"> </w:t>
      </w:r>
      <w:r>
        <w:t>a different population of obese patients and healthy controls,</w:t>
      </w:r>
      <w:r>
        <w:rPr>
          <w:vertAlign w:val="superscript"/>
        </w:rPr>
        <w:t xml:space="preserve"> </w:t>
      </w:r>
      <w:r>
        <w:t>they were now unable to repeat their initial observations and</w:t>
      </w:r>
      <w:r>
        <w:rPr>
          <w:vertAlign w:val="superscript"/>
        </w:rPr>
        <w:t xml:space="preserve"> </w:t>
      </w:r>
      <w:r>
        <w:t>did not detect any differences in baseline PYY concentrations</w:t>
      </w:r>
      <w:r>
        <w:rPr>
          <w:vertAlign w:val="superscript"/>
        </w:rPr>
        <w:t xml:space="preserve"> </w:t>
      </w:r>
      <w:r>
        <w:t>using the same immunoassay (</w:t>
      </w:r>
      <w:hyperlink r:id="rId160" w:anchor="R25" w:history="1">
        <w:r>
          <w:rPr>
            <w:rStyle w:val="Hyperlink"/>
            <w:rFonts w:eastAsiaTheme="majorEastAsia"/>
          </w:rPr>
          <w:t>25</w:t>
        </w:r>
      </w:hyperlink>
      <w:r>
        <w:t>). Similarly, another independent</w:t>
      </w:r>
      <w:r>
        <w:rPr>
          <w:vertAlign w:val="superscript"/>
        </w:rPr>
        <w:t xml:space="preserve"> </w:t>
      </w:r>
      <w:r>
        <w:t>study group recently reported a lack of correlation between</w:t>
      </w:r>
      <w:r>
        <w:rPr>
          <w:vertAlign w:val="superscript"/>
        </w:rPr>
        <w:t xml:space="preserve"> </w:t>
      </w:r>
      <w:r>
        <w:t>PYY levels and BMI (</w:t>
      </w:r>
      <w:hyperlink r:id="rId161" w:anchor="R26" w:history="1">
        <w:r>
          <w:rPr>
            <w:rStyle w:val="Hyperlink"/>
            <w:rFonts w:eastAsiaTheme="majorEastAsia"/>
          </w:rPr>
          <w:t>26</w:t>
        </w:r>
      </w:hyperlink>
      <w:r>
        <w:t>).</w:t>
      </w:r>
      <w:r>
        <w:rPr>
          <w:vertAlign w:val="superscript"/>
        </w:rPr>
        <w:t xml:space="preserve"> </w:t>
      </w:r>
    </w:p>
    <w:p w:rsidR="00A60CEE" w:rsidRDefault="00A60CEE" w:rsidP="00E13FB9">
      <w:pPr>
        <w:pStyle w:val="NormalWeb"/>
        <w:jc w:val="both"/>
      </w:pPr>
      <w:r>
        <w:t>It is possible that the small size (n = 12) of the population</w:t>
      </w:r>
      <w:r>
        <w:rPr>
          <w:vertAlign w:val="superscript"/>
        </w:rPr>
        <w:t xml:space="preserve"> </w:t>
      </w:r>
      <w:r>
        <w:t>in the study first reporting low PYY levels in obesity led to</w:t>
      </w:r>
      <w:r>
        <w:rPr>
          <w:vertAlign w:val="superscript"/>
        </w:rPr>
        <w:t xml:space="preserve"> </w:t>
      </w:r>
      <w:r>
        <w:t>results that cannot be repeated in larger populations. That</w:t>
      </w:r>
      <w:r>
        <w:rPr>
          <w:vertAlign w:val="superscript"/>
        </w:rPr>
        <w:t xml:space="preserve"> </w:t>
      </w:r>
      <w:r>
        <w:t>conclusion is consistent with reports by another group of investigators</w:t>
      </w:r>
      <w:r>
        <w:rPr>
          <w:vertAlign w:val="superscript"/>
        </w:rPr>
        <w:t xml:space="preserve"> </w:t>
      </w:r>
      <w:r>
        <w:t>(</w:t>
      </w:r>
      <w:hyperlink r:id="rId162" w:anchor="R27" w:history="1">
        <w:r>
          <w:rPr>
            <w:rStyle w:val="Hyperlink"/>
            <w:rFonts w:eastAsiaTheme="majorEastAsia"/>
          </w:rPr>
          <w:t>27</w:t>
        </w:r>
      </w:hyperlink>
      <w:r>
        <w:t>), who while studying the effect of gastric bypass surgery</w:t>
      </w:r>
      <w:r>
        <w:rPr>
          <w:vertAlign w:val="superscript"/>
        </w:rPr>
        <w:t xml:space="preserve"> </w:t>
      </w:r>
      <w:r>
        <w:t>on circulating levels of PYY were also unable to detect differences</w:t>
      </w:r>
      <w:r>
        <w:rPr>
          <w:vertAlign w:val="superscript"/>
        </w:rPr>
        <w:t xml:space="preserve"> </w:t>
      </w:r>
      <w:r>
        <w:t>of PYY concentrations between obese and lean individuals. Of</w:t>
      </w:r>
      <w:r>
        <w:rPr>
          <w:vertAlign w:val="superscript"/>
        </w:rPr>
        <w:t xml:space="preserve"> </w:t>
      </w:r>
      <w:r>
        <w:t xml:space="preserve">course, the </w:t>
      </w:r>
      <w:r>
        <w:lastRenderedPageBreak/>
        <w:t>populations of currently available studies on PYY</w:t>
      </w:r>
      <w:r>
        <w:rPr>
          <w:vertAlign w:val="superscript"/>
        </w:rPr>
        <w:t xml:space="preserve"> </w:t>
      </w:r>
      <w:r>
        <w:t>in obesity all slightly differ regarding their age and gender</w:t>
      </w:r>
      <w:r>
        <w:rPr>
          <w:vertAlign w:val="superscript"/>
        </w:rPr>
        <w:t xml:space="preserve"> </w:t>
      </w:r>
      <w:r>
        <w:t>as well as their degree of obesity. In addition, a differing</w:t>
      </w:r>
      <w:r>
        <w:rPr>
          <w:vertAlign w:val="superscript"/>
        </w:rPr>
        <w:t xml:space="preserve"> </w:t>
      </w:r>
      <w:r>
        <w:t>food composition between anorectic, lean, and obese subpopulations</w:t>
      </w:r>
      <w:r>
        <w:rPr>
          <w:vertAlign w:val="superscript"/>
        </w:rPr>
        <w:t xml:space="preserve"> </w:t>
      </w:r>
      <w:r>
        <w:t>as well as internationally diverse dietary habits may contribute</w:t>
      </w:r>
      <w:r>
        <w:rPr>
          <w:vertAlign w:val="superscript"/>
        </w:rPr>
        <w:t xml:space="preserve"> </w:t>
      </w:r>
      <w:r>
        <w:t>to explain the discrepancies in the reports on PYY levels. For</w:t>
      </w:r>
      <w:r>
        <w:rPr>
          <w:vertAlign w:val="superscript"/>
        </w:rPr>
        <w:t xml:space="preserve"> </w:t>
      </w:r>
      <w:r>
        <w:t>instance, in rats, a higher release of PYY was demonstrated</w:t>
      </w:r>
      <w:r>
        <w:rPr>
          <w:vertAlign w:val="superscript"/>
        </w:rPr>
        <w:t xml:space="preserve"> </w:t>
      </w:r>
      <w:r>
        <w:t>after ingestion of a fiber-rich diet (</w:t>
      </w:r>
      <w:hyperlink r:id="rId163" w:anchor="R28" w:history="1">
        <w:r>
          <w:rPr>
            <w:rStyle w:val="Hyperlink"/>
            <w:rFonts w:eastAsiaTheme="majorEastAsia"/>
          </w:rPr>
          <w:t>28</w:t>
        </w:r>
      </w:hyperlink>
      <w:r>
        <w:t xml:space="preserve">, </w:t>
      </w:r>
      <w:hyperlink r:id="rId164" w:anchor="R29" w:history="1">
        <w:r>
          <w:rPr>
            <w:rStyle w:val="Hyperlink"/>
            <w:rFonts w:eastAsiaTheme="majorEastAsia"/>
          </w:rPr>
          <w:t>29</w:t>
        </w:r>
      </w:hyperlink>
      <w:r>
        <w:t>). In humans, either</w:t>
      </w:r>
      <w:r>
        <w:rPr>
          <w:vertAlign w:val="superscript"/>
        </w:rPr>
        <w:t xml:space="preserve"> </w:t>
      </w:r>
      <w:r>
        <w:t>a protein-rich or carbohydrate-rich diet was more effective</w:t>
      </w:r>
      <w:r>
        <w:rPr>
          <w:vertAlign w:val="superscript"/>
        </w:rPr>
        <w:t xml:space="preserve"> </w:t>
      </w:r>
      <w:r>
        <w:t>in increasing PYY release than a high-fat diet (</w:t>
      </w:r>
      <w:hyperlink r:id="rId165" w:anchor="R30" w:history="1">
        <w:r>
          <w:rPr>
            <w:rStyle w:val="Hyperlink"/>
            <w:rFonts w:eastAsiaTheme="majorEastAsia"/>
          </w:rPr>
          <w:t>30</w:t>
        </w:r>
      </w:hyperlink>
      <w:r>
        <w:t>). However,</w:t>
      </w:r>
      <w:r>
        <w:rPr>
          <w:vertAlign w:val="superscript"/>
        </w:rPr>
        <w:t xml:space="preserve"> </w:t>
      </w:r>
      <w:r>
        <w:t>all studies have based their findings on comparisons with well-matched</w:t>
      </w:r>
      <w:r>
        <w:rPr>
          <w:vertAlign w:val="superscript"/>
        </w:rPr>
        <w:t xml:space="preserve"> </w:t>
      </w:r>
      <w:r>
        <w:t>control groups, and variations in diet composition/dietary habits</w:t>
      </w:r>
      <w:r>
        <w:rPr>
          <w:vertAlign w:val="superscript"/>
        </w:rPr>
        <w:t xml:space="preserve"> </w:t>
      </w:r>
      <w:r>
        <w:t>were not reported. These findings make it less likely that the</w:t>
      </w:r>
      <w:r>
        <w:rPr>
          <w:vertAlign w:val="superscript"/>
        </w:rPr>
        <w:t xml:space="preserve"> </w:t>
      </w:r>
      <w:r>
        <w:t>above mentioned variabilities are the cause for entirely different</w:t>
      </w:r>
      <w:r>
        <w:rPr>
          <w:vertAlign w:val="superscript"/>
        </w:rPr>
        <w:t xml:space="preserve"> </w:t>
      </w:r>
      <w:r>
        <w:t>results. Baseline PYY concentrations therefore seem to be unchanged</w:t>
      </w:r>
      <w:r>
        <w:rPr>
          <w:vertAlign w:val="superscript"/>
        </w:rPr>
        <w:t xml:space="preserve"> </w:t>
      </w:r>
      <w:r>
        <w:t>in obese subjects compared with lean controls. Very recent reports</w:t>
      </w:r>
      <w:r>
        <w:rPr>
          <w:vertAlign w:val="superscript"/>
        </w:rPr>
        <w:t xml:space="preserve"> </w:t>
      </w:r>
      <w:r>
        <w:t>suggest an absent or blunted PYY release upon ingestion of a</w:t>
      </w:r>
      <w:r>
        <w:rPr>
          <w:vertAlign w:val="superscript"/>
        </w:rPr>
        <w:t xml:space="preserve"> </w:t>
      </w:r>
      <w:r>
        <w:t>meal in both obese subjects (</w:t>
      </w:r>
      <w:hyperlink r:id="rId166" w:anchor="R31" w:history="1">
        <w:r>
          <w:rPr>
            <w:rStyle w:val="Hyperlink"/>
            <w:rFonts w:eastAsiaTheme="majorEastAsia"/>
          </w:rPr>
          <w:t>31</w:t>
        </w:r>
      </w:hyperlink>
      <w:r>
        <w:t xml:space="preserve">, </w:t>
      </w:r>
      <w:hyperlink r:id="rId167" w:anchor="R32" w:history="1">
        <w:r>
          <w:rPr>
            <w:rStyle w:val="Hyperlink"/>
            <w:rFonts w:eastAsiaTheme="majorEastAsia"/>
          </w:rPr>
          <w:t>32</w:t>
        </w:r>
      </w:hyperlink>
      <w:r>
        <w:t>) and patients with bulimia</w:t>
      </w:r>
      <w:r>
        <w:rPr>
          <w:vertAlign w:val="superscript"/>
        </w:rPr>
        <w:t xml:space="preserve"> </w:t>
      </w:r>
      <w:r>
        <w:t>nervosa (</w:t>
      </w:r>
      <w:hyperlink r:id="rId168" w:anchor="R33" w:history="1">
        <w:r>
          <w:rPr>
            <w:rStyle w:val="Hyperlink"/>
            <w:rFonts w:eastAsiaTheme="majorEastAsia"/>
          </w:rPr>
          <w:t>33</w:t>
        </w:r>
      </w:hyperlink>
      <w:r>
        <w:t>). Whether an attenuated response bears any physiological</w:t>
      </w:r>
      <w:r>
        <w:rPr>
          <w:vertAlign w:val="superscript"/>
        </w:rPr>
        <w:t xml:space="preserve"> </w:t>
      </w:r>
      <w:r>
        <w:t>consequences still remains unclear but may deserve further attention.</w:t>
      </w:r>
      <w:r>
        <w:rPr>
          <w:vertAlign w:val="superscript"/>
        </w:rPr>
        <w:t xml:space="preserve"> </w:t>
      </w:r>
    </w:p>
    <w:p w:rsidR="00A60CEE" w:rsidRDefault="00A60CEE" w:rsidP="00E13FB9">
      <w:pPr>
        <w:pStyle w:val="NormalWeb"/>
        <w:jc w:val="both"/>
      </w:pPr>
      <w:r>
        <w:t>Another interesting observation from our studies is that PYY</w:t>
      </w:r>
      <w:r>
        <w:rPr>
          <w:vertAlign w:val="superscript"/>
        </w:rPr>
        <w:t xml:space="preserve"> </w:t>
      </w:r>
      <w:r>
        <w:t>levels seem to be higher in some patients with anorexia nervosa.</w:t>
      </w:r>
      <w:r>
        <w:rPr>
          <w:vertAlign w:val="superscript"/>
        </w:rPr>
        <w:t xml:space="preserve"> </w:t>
      </w:r>
      <w:r>
        <w:t>These findings are consistent with recent reports from another</w:t>
      </w:r>
      <w:r>
        <w:rPr>
          <w:vertAlign w:val="superscript"/>
        </w:rPr>
        <w:t xml:space="preserve"> </w:t>
      </w:r>
      <w:r>
        <w:t>laboratory using another immunoassay (</w:t>
      </w:r>
      <w:hyperlink r:id="rId169" w:anchor="R34" w:history="1">
        <w:r>
          <w:rPr>
            <w:rStyle w:val="Hyperlink"/>
            <w:rFonts w:eastAsiaTheme="majorEastAsia"/>
          </w:rPr>
          <w:t>34</w:t>
        </w:r>
      </w:hyperlink>
      <w:r>
        <w:t>) but stand in contrast</w:t>
      </w:r>
      <w:r>
        <w:rPr>
          <w:vertAlign w:val="superscript"/>
        </w:rPr>
        <w:t xml:space="preserve"> </w:t>
      </w:r>
      <w:r>
        <w:t>to reports from another group that was unable to find any differences</w:t>
      </w:r>
      <w:r>
        <w:rPr>
          <w:vertAlign w:val="superscript"/>
        </w:rPr>
        <w:t xml:space="preserve"> </w:t>
      </w:r>
      <w:r>
        <w:t>of baseline PYY levels between anorexia nervosa patients and</w:t>
      </w:r>
      <w:r>
        <w:rPr>
          <w:vertAlign w:val="superscript"/>
        </w:rPr>
        <w:t xml:space="preserve"> </w:t>
      </w:r>
      <w:r>
        <w:t>control subjects (</w:t>
      </w:r>
      <w:hyperlink r:id="rId170" w:anchor="R25" w:history="1">
        <w:r>
          <w:rPr>
            <w:rStyle w:val="Hyperlink"/>
            <w:rFonts w:eastAsiaTheme="majorEastAsia"/>
          </w:rPr>
          <w:t>25</w:t>
        </w:r>
      </w:hyperlink>
      <w:r>
        <w:t>). Although it is theoretically possible</w:t>
      </w:r>
      <w:r>
        <w:rPr>
          <w:vertAlign w:val="superscript"/>
        </w:rPr>
        <w:t xml:space="preserve"> </w:t>
      </w:r>
      <w:r>
        <w:t>that increased levels of PYY may play a role in a subset of</w:t>
      </w:r>
      <w:r>
        <w:rPr>
          <w:vertAlign w:val="superscript"/>
        </w:rPr>
        <w:t xml:space="preserve"> </w:t>
      </w:r>
      <w:r>
        <w:t>patients with anorexia nervosa, we do observe a very high degree</w:t>
      </w:r>
      <w:r>
        <w:rPr>
          <w:vertAlign w:val="superscript"/>
        </w:rPr>
        <w:t xml:space="preserve"> </w:t>
      </w:r>
      <w:r>
        <w:t>of interindividual variability within the subjects we examined.</w:t>
      </w:r>
      <w:r>
        <w:rPr>
          <w:vertAlign w:val="superscript"/>
        </w:rPr>
        <w:t xml:space="preserve"> </w:t>
      </w:r>
      <w:r>
        <w:t>Furthermore, the here observed high PYY levels might be a consequence</w:t>
      </w:r>
      <w:r>
        <w:rPr>
          <w:vertAlign w:val="superscript"/>
        </w:rPr>
        <w:t xml:space="preserve"> </w:t>
      </w:r>
      <w:r>
        <w:t>of the combination of young age and female gender of this specific</w:t>
      </w:r>
      <w:r>
        <w:rPr>
          <w:vertAlign w:val="superscript"/>
        </w:rPr>
        <w:t xml:space="preserve"> </w:t>
      </w:r>
      <w:r>
        <w:t>subset of patients studied (</w:t>
      </w:r>
      <w:hyperlink r:id="rId171" w:anchor="R26" w:history="1">
        <w:r>
          <w:rPr>
            <w:rStyle w:val="Hyperlink"/>
            <w:rFonts w:eastAsiaTheme="majorEastAsia"/>
          </w:rPr>
          <w:t>26</w:t>
        </w:r>
      </w:hyperlink>
      <w:r>
        <w:t xml:space="preserve">, </w:t>
      </w:r>
      <w:hyperlink r:id="rId172" w:anchor="R35" w:history="1">
        <w:r>
          <w:rPr>
            <w:rStyle w:val="Hyperlink"/>
            <w:rFonts w:eastAsiaTheme="majorEastAsia"/>
          </w:rPr>
          <w:t>35</w:t>
        </w:r>
      </w:hyperlink>
      <w:r>
        <w:t>). Therefore, we believe that</w:t>
      </w:r>
      <w:r>
        <w:rPr>
          <w:vertAlign w:val="superscript"/>
        </w:rPr>
        <w:t xml:space="preserve"> </w:t>
      </w:r>
      <w:r>
        <w:t>future studies of the regulation of PYY secretion in patients</w:t>
      </w:r>
      <w:r>
        <w:rPr>
          <w:vertAlign w:val="superscript"/>
        </w:rPr>
        <w:t xml:space="preserve"> </w:t>
      </w:r>
      <w:r>
        <w:t>with eating disorders are needed to establish a causal relationship.</w:t>
      </w:r>
      <w:r>
        <w:rPr>
          <w:vertAlign w:val="superscript"/>
        </w:rPr>
        <w:t xml:space="preserve"> </w:t>
      </w:r>
    </w:p>
    <w:p w:rsidR="00A60CEE" w:rsidRDefault="00A60CEE" w:rsidP="00E13FB9">
      <w:pPr>
        <w:pStyle w:val="NormalWeb"/>
        <w:jc w:val="both"/>
      </w:pPr>
      <w:r>
        <w:t>In a small subset of obese individuals, total PYY levels were</w:t>
      </w:r>
      <w:r>
        <w:rPr>
          <w:vertAlign w:val="superscript"/>
        </w:rPr>
        <w:t xml:space="preserve"> </w:t>
      </w:r>
      <w:r>
        <w:t>significantly reduced in response to weight loss. However, in</w:t>
      </w:r>
      <w:r>
        <w:rPr>
          <w:vertAlign w:val="superscript"/>
        </w:rPr>
        <w:t xml:space="preserve"> </w:t>
      </w:r>
      <w:r>
        <w:t>view of the only very weak inverse association of BMI with total</w:t>
      </w:r>
      <w:r>
        <w:rPr>
          <w:vertAlign w:val="superscript"/>
        </w:rPr>
        <w:t xml:space="preserve"> </w:t>
      </w:r>
      <w:r>
        <w:t>PYY (but not PYY</w:t>
      </w:r>
      <w:r>
        <w:rPr>
          <w:vertAlign w:val="subscript"/>
        </w:rPr>
        <w:t>3–36</w:t>
      </w:r>
      <w:r>
        <w:t>) levels, it seems unlikely that the</w:t>
      </w:r>
      <w:r>
        <w:rPr>
          <w:vertAlign w:val="superscript"/>
        </w:rPr>
        <w:t xml:space="preserve"> </w:t>
      </w:r>
      <w:r>
        <w:t>observed reduction of PYY levels in obese subject after weight</w:t>
      </w:r>
      <w:r>
        <w:rPr>
          <w:vertAlign w:val="superscript"/>
        </w:rPr>
        <w:t xml:space="preserve"> </w:t>
      </w:r>
      <w:r>
        <w:t>loss can be explained by body composition changes. In our subset</w:t>
      </w:r>
      <w:r>
        <w:rPr>
          <w:vertAlign w:val="superscript"/>
        </w:rPr>
        <w:t xml:space="preserve"> </w:t>
      </w:r>
      <w:r>
        <w:t>of anorexia nervosa patients on a weight-gain therapy, a chronic</w:t>
      </w:r>
      <w:r>
        <w:rPr>
          <w:vertAlign w:val="superscript"/>
        </w:rPr>
        <w:t xml:space="preserve"> </w:t>
      </w:r>
      <w:r>
        <w:t>positive energy balance did not alter circulating total PYY</w:t>
      </w:r>
      <w:r>
        <w:rPr>
          <w:vertAlign w:val="superscript"/>
        </w:rPr>
        <w:t xml:space="preserve"> </w:t>
      </w:r>
      <w:r>
        <w:t>levels. However, the study of larger cohorts of anorectic or</w:t>
      </w:r>
      <w:r>
        <w:rPr>
          <w:vertAlign w:val="superscript"/>
        </w:rPr>
        <w:t xml:space="preserve"> </w:t>
      </w:r>
      <w:r>
        <w:t>obese patients that are subjected to weight gain or weight loss</w:t>
      </w:r>
      <w:r>
        <w:rPr>
          <w:vertAlign w:val="superscript"/>
        </w:rPr>
        <w:t xml:space="preserve"> </w:t>
      </w:r>
      <w:r>
        <w:t>could help to clarify whether a temporary or chronic change</w:t>
      </w:r>
      <w:r>
        <w:rPr>
          <w:vertAlign w:val="superscript"/>
        </w:rPr>
        <w:t xml:space="preserve"> </w:t>
      </w:r>
      <w:r>
        <w:t xml:space="preserve">of energy balance can affect PYY levels, </w:t>
      </w:r>
      <w:r>
        <w:rPr>
          <w:i/>
          <w:iCs/>
        </w:rPr>
        <w:t>e.g.</w:t>
      </w:r>
      <w:r>
        <w:t xml:space="preserve"> via central nervous</w:t>
      </w:r>
      <w:r>
        <w:rPr>
          <w:vertAlign w:val="superscript"/>
        </w:rPr>
        <w:t xml:space="preserve"> </w:t>
      </w:r>
      <w:r>
        <w:t>pathways. A first very recent report showed that 48 or 72 h</w:t>
      </w:r>
      <w:r>
        <w:rPr>
          <w:vertAlign w:val="superscript"/>
        </w:rPr>
        <w:t xml:space="preserve"> </w:t>
      </w:r>
      <w:r>
        <w:t>fasting in lean humans significantly decreased both BMI and</w:t>
      </w:r>
      <w:r>
        <w:rPr>
          <w:vertAlign w:val="superscript"/>
        </w:rPr>
        <w:t xml:space="preserve"> </w:t>
      </w:r>
      <w:r>
        <w:t>PYY levels (</w:t>
      </w:r>
      <w:hyperlink r:id="rId173" w:anchor="R36" w:history="1">
        <w:r>
          <w:rPr>
            <w:rStyle w:val="Hyperlink"/>
            <w:rFonts w:eastAsiaTheme="majorEastAsia"/>
          </w:rPr>
          <w:t>36</w:t>
        </w:r>
      </w:hyperlink>
      <w:r>
        <w:t>).</w:t>
      </w:r>
      <w:r>
        <w:rPr>
          <w:vertAlign w:val="superscript"/>
        </w:rPr>
        <w:t xml:space="preserve"> </w:t>
      </w:r>
    </w:p>
    <w:p w:rsidR="00A60CEE" w:rsidRDefault="00A60CEE" w:rsidP="00E13FB9">
      <w:pPr>
        <w:pStyle w:val="NormalWeb"/>
        <w:jc w:val="both"/>
      </w:pPr>
      <w:r>
        <w:t>In conclusion, our results show that PYY does not appear to</w:t>
      </w:r>
      <w:r>
        <w:rPr>
          <w:vertAlign w:val="superscript"/>
        </w:rPr>
        <w:t xml:space="preserve"> </w:t>
      </w:r>
      <w:r>
        <w:t>be pathologically decreased in human obesity and so must be</w:t>
      </w:r>
      <w:r>
        <w:rPr>
          <w:vertAlign w:val="superscript"/>
        </w:rPr>
        <w:t xml:space="preserve"> </w:t>
      </w:r>
      <w:r>
        <w:t>questioned as a cause for the maintenance of overweight. Nevertheless,</w:t>
      </w:r>
      <w:r>
        <w:rPr>
          <w:vertAlign w:val="superscript"/>
        </w:rPr>
        <w:t xml:space="preserve"> </w:t>
      </w:r>
      <w:r>
        <w:t>there are still a number of open questions regarding PYY, including</w:t>
      </w:r>
      <w:r>
        <w:rPr>
          <w:vertAlign w:val="superscript"/>
        </w:rPr>
        <w:t xml:space="preserve"> </w:t>
      </w:r>
      <w:r>
        <w:t>a possible role in anorexia nervosa and related eating disorders.</w:t>
      </w:r>
      <w:r>
        <w:rPr>
          <w:vertAlign w:val="superscript"/>
        </w:rPr>
        <w:t xml:space="preserve"> </w:t>
      </w:r>
      <w:r>
        <w:t>Only a thorough understanding of the details involved in endocrine</w:t>
      </w:r>
      <w:r>
        <w:rPr>
          <w:vertAlign w:val="superscript"/>
        </w:rPr>
        <w:t xml:space="preserve"> </w:t>
      </w:r>
      <w:r>
        <w:t>energy balance regulation will allow for the separation between</w:t>
      </w:r>
      <w:r>
        <w:rPr>
          <w:vertAlign w:val="superscript"/>
        </w:rPr>
        <w:t xml:space="preserve"> </w:t>
      </w:r>
      <w:r>
        <w:t>essential players and redundant mechanisms and ultimately lead</w:t>
      </w:r>
      <w:r>
        <w:rPr>
          <w:vertAlign w:val="superscript"/>
        </w:rPr>
        <w:t xml:space="preserve"> </w:t>
      </w:r>
      <w:r>
        <w:t>to an efficient and safe antiobesity drug. The insight that</w:t>
      </w:r>
      <w:r>
        <w:rPr>
          <w:vertAlign w:val="superscript"/>
        </w:rPr>
        <w:t xml:space="preserve"> </w:t>
      </w:r>
      <w:r>
        <w:t>there may be no PYY deficiency in human obesity may be a small</w:t>
      </w:r>
      <w:r>
        <w:rPr>
          <w:vertAlign w:val="superscript"/>
        </w:rPr>
        <w:t xml:space="preserve"> </w:t>
      </w:r>
      <w:r>
        <w:t>step back from earlier proposed hypotheses, but based on currently</w:t>
      </w:r>
      <w:r>
        <w:rPr>
          <w:vertAlign w:val="superscript"/>
        </w:rPr>
        <w:t xml:space="preserve"> </w:t>
      </w:r>
      <w:r>
        <w:t>available data, it might be a step in the right direction.</w:t>
      </w:r>
      <w:r>
        <w:rPr>
          <w:vertAlign w:val="superscript"/>
        </w:rPr>
        <w:t xml:space="preserve"> </w:t>
      </w:r>
    </w:p>
    <w:p w:rsidR="00A60CEE" w:rsidRDefault="00A60CEE" w:rsidP="00E13FB9">
      <w:pPr>
        <w:pStyle w:val="NormalWeb"/>
        <w:jc w:val="both"/>
      </w:pPr>
      <w:bookmarkStart w:id="23" w:name="FN"/>
      <w:bookmarkEnd w:id="23"/>
      <w:r>
        <w:br w:type="textWrapping" w:clear="right"/>
      </w:r>
    </w:p>
    <w:tbl>
      <w:tblPr>
        <w:tblW w:w="5000" w:type="pct"/>
        <w:tblCellSpacing w:w="0" w:type="dxa"/>
        <w:shd w:val="clear" w:color="auto" w:fill="E1E1E1"/>
        <w:tblCellMar>
          <w:left w:w="0" w:type="dxa"/>
          <w:right w:w="0" w:type="dxa"/>
        </w:tblCellMar>
        <w:tblLook w:val="04A0"/>
      </w:tblPr>
      <w:tblGrid>
        <w:gridCol w:w="540"/>
        <w:gridCol w:w="10260"/>
      </w:tblGrid>
      <w:tr w:rsidR="00A60CEE" w:rsidTr="00A60CEE">
        <w:trPr>
          <w:tblCellSpacing w:w="0" w:type="dxa"/>
        </w:trPr>
        <w:tc>
          <w:tcPr>
            <w:tcW w:w="250" w:type="pct"/>
            <w:shd w:val="clear" w:color="auto" w:fill="FFFFFF"/>
            <w:vAlign w:val="center"/>
            <w:hideMark/>
          </w:tcPr>
          <w:p w:rsidR="00A60CEE" w:rsidRDefault="00A60CEE" w:rsidP="00E13FB9">
            <w:pPr>
              <w:jc w:val="both"/>
              <w:rPr>
                <w:sz w:val="24"/>
                <w:szCs w:val="24"/>
              </w:rPr>
            </w:pPr>
            <w:r>
              <w:rPr>
                <w:noProof/>
              </w:rPr>
              <w:drawing>
                <wp:inline distT="0" distB="0" distL="0" distR="0">
                  <wp:extent cx="95250" cy="200025"/>
                  <wp:effectExtent l="19050" t="0" r="0" b="0"/>
                  <wp:docPr id="118" name="Picture 1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 "/>
                          <pic:cNvPicPr>
                            <a:picLocks noChangeAspect="1" noChangeArrowheads="1"/>
                          </pic:cNvPicPr>
                        </pic:nvPicPr>
                        <pic:blipFill>
                          <a:blip r:embed="rId94"/>
                          <a:srcRect/>
                          <a:stretch>
                            <a:fillRect/>
                          </a:stretch>
                        </pic:blipFill>
                        <pic:spPr bwMode="auto">
                          <a:xfrm>
                            <a:off x="0" y="0"/>
                            <a:ext cx="95250" cy="200025"/>
                          </a:xfrm>
                          <a:prstGeom prst="rect">
                            <a:avLst/>
                          </a:prstGeom>
                          <a:noFill/>
                          <a:ln w="9525">
                            <a:noFill/>
                            <a:miter lim="800000"/>
                            <a:headEnd/>
                            <a:tailEnd/>
                          </a:ln>
                        </pic:spPr>
                      </pic:pic>
                    </a:graphicData>
                  </a:graphic>
                </wp:inline>
              </w:drawing>
            </w:r>
          </w:p>
        </w:tc>
        <w:tc>
          <w:tcPr>
            <w:tcW w:w="4750" w:type="pct"/>
            <w:shd w:val="clear" w:color="auto" w:fill="E1E1E1"/>
            <w:vAlign w:val="center"/>
            <w:hideMark/>
          </w:tcPr>
          <w:p w:rsidR="00A60CEE" w:rsidRDefault="00A60CEE" w:rsidP="00E13FB9">
            <w:pPr>
              <w:jc w:val="both"/>
              <w:rPr>
                <w:b/>
                <w:bCs/>
                <w:sz w:val="24"/>
                <w:szCs w:val="24"/>
              </w:rPr>
            </w:pPr>
            <w:r>
              <w:rPr>
                <w:b/>
                <w:bCs/>
                <w:sz w:val="36"/>
                <w:szCs w:val="36"/>
              </w:rPr>
              <w:t xml:space="preserve">   Footnotes </w:t>
            </w:r>
          </w:p>
        </w:tc>
      </w:tr>
    </w:tbl>
    <w:p w:rsidR="00A60CEE" w:rsidRDefault="00A60CEE" w:rsidP="00E13FB9">
      <w:pPr>
        <w:pStyle w:val="NormalWeb"/>
        <w:jc w:val="both"/>
      </w:pPr>
      <w:r>
        <w:t> </w:t>
      </w:r>
      <w:r>
        <w:br/>
        <w:t>Disclosure Statement: The authors have nothing to disclose.</w:t>
      </w:r>
      <w:r>
        <w:rPr>
          <w:vertAlign w:val="superscript"/>
        </w:rPr>
        <w:t xml:space="preserve"> </w:t>
      </w:r>
    </w:p>
    <w:p w:rsidR="00A60CEE" w:rsidRDefault="00A60CEE" w:rsidP="00E13FB9">
      <w:pPr>
        <w:pStyle w:val="NormalWeb"/>
        <w:jc w:val="both"/>
      </w:pPr>
      <w:r>
        <w:rPr>
          <w:b/>
          <w:bCs/>
        </w:rPr>
        <w:lastRenderedPageBreak/>
        <w:t>First Published Online November 21, 2006</w:t>
      </w:r>
      <w:r>
        <w:rPr>
          <w:vertAlign w:val="superscript"/>
        </w:rPr>
        <w:t xml:space="preserve"> </w:t>
      </w:r>
    </w:p>
    <w:p w:rsidR="00A60CEE" w:rsidRDefault="00A60CEE" w:rsidP="00E13FB9">
      <w:pPr>
        <w:pStyle w:val="NormalWeb"/>
        <w:jc w:val="both"/>
      </w:pPr>
      <w:bookmarkStart w:id="24" w:name="FN1"/>
      <w:bookmarkEnd w:id="24"/>
      <w:r>
        <w:rPr>
          <w:vertAlign w:val="superscript"/>
        </w:rPr>
        <w:t>1</w:t>
      </w:r>
      <w:r>
        <w:t xml:space="preserve"> P.T.P. and J.K. contributed equally to this work.</w:t>
      </w:r>
      <w:r>
        <w:rPr>
          <w:vertAlign w:val="superscript"/>
        </w:rPr>
        <w:t xml:space="preserve"> </w:t>
      </w:r>
      <w:r>
        <w:rPr>
          <w:noProof/>
          <w:color w:val="0000FF"/>
        </w:rPr>
        <w:drawing>
          <wp:inline distT="0" distB="0" distL="0" distR="0">
            <wp:extent cx="114300" cy="114300"/>
            <wp:effectExtent l="19050" t="0" r="0" b="0"/>
            <wp:docPr id="119" name="Picture 119" descr="Back">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ack">
                      <a:hlinkClick r:id="rId174"/>
                    </pic:cNvPr>
                    <pic:cNvPicPr>
                      <a:picLocks noChangeAspect="1" noChangeArrowheads="1"/>
                    </pic:cNvPicPr>
                  </pic:nvPicPr>
                  <pic:blipFill>
                    <a:blip r:embed="rId175"/>
                    <a:srcRect/>
                    <a:stretch>
                      <a:fillRect/>
                    </a:stretch>
                  </pic:blipFill>
                  <pic:spPr bwMode="auto">
                    <a:xfrm>
                      <a:off x="0" y="0"/>
                      <a:ext cx="114300" cy="114300"/>
                    </a:xfrm>
                    <a:prstGeom prst="rect">
                      <a:avLst/>
                    </a:prstGeom>
                    <a:noFill/>
                    <a:ln w="9525">
                      <a:noFill/>
                      <a:miter lim="800000"/>
                      <a:headEnd/>
                      <a:tailEnd/>
                    </a:ln>
                  </pic:spPr>
                </pic:pic>
              </a:graphicData>
            </a:graphic>
          </wp:inline>
        </w:drawing>
      </w:r>
    </w:p>
    <w:p w:rsidR="00A60CEE" w:rsidRDefault="00A60CEE" w:rsidP="00E13FB9">
      <w:pPr>
        <w:pStyle w:val="NormalWeb"/>
        <w:jc w:val="both"/>
      </w:pPr>
      <w:bookmarkStart w:id="25" w:name=""/>
      <w:bookmarkEnd w:id="25"/>
      <w:r>
        <w:t>Abbreviations: BMI, Body mass index; CV, coefficient(s) of variation;</w:t>
      </w:r>
      <w:r>
        <w:rPr>
          <w:vertAlign w:val="superscript"/>
        </w:rPr>
        <w:t xml:space="preserve"> </w:t>
      </w:r>
      <w:r>
        <w:t>NPY, neuropeptide Y; PYY, peptide YY.</w:t>
      </w:r>
      <w:r>
        <w:rPr>
          <w:vertAlign w:val="superscript"/>
        </w:rPr>
        <w:t xml:space="preserve"> </w:t>
      </w:r>
    </w:p>
    <w:p w:rsidR="00A60CEE" w:rsidRDefault="00A60CEE" w:rsidP="00E13FB9">
      <w:pPr>
        <w:pStyle w:val="NormalWeb"/>
        <w:jc w:val="both"/>
      </w:pPr>
      <w:r>
        <w:t xml:space="preserve">Received July 5, 2006. </w:t>
      </w:r>
    </w:p>
    <w:p w:rsidR="00A60CEE" w:rsidRDefault="00A60CEE" w:rsidP="00E13FB9">
      <w:pPr>
        <w:pStyle w:val="NormalWeb"/>
        <w:jc w:val="both"/>
      </w:pPr>
      <w:r>
        <w:t xml:space="preserve">Accepted November 15, 2006. </w:t>
      </w:r>
    </w:p>
    <w:p w:rsidR="00A60CEE" w:rsidRDefault="00A60CEE" w:rsidP="00E13FB9">
      <w:pPr>
        <w:pStyle w:val="NormalWeb"/>
        <w:jc w:val="both"/>
      </w:pPr>
      <w:bookmarkStart w:id="26" w:name="BIBL"/>
      <w:bookmarkEnd w:id="26"/>
      <w:r>
        <w:br w:type="textWrapping" w:clear="right"/>
      </w:r>
    </w:p>
    <w:tbl>
      <w:tblPr>
        <w:tblW w:w="5000" w:type="pct"/>
        <w:tblCellSpacing w:w="0" w:type="dxa"/>
        <w:shd w:val="clear" w:color="auto" w:fill="E1E1E1"/>
        <w:tblCellMar>
          <w:left w:w="0" w:type="dxa"/>
          <w:right w:w="0" w:type="dxa"/>
        </w:tblCellMar>
        <w:tblLook w:val="04A0"/>
      </w:tblPr>
      <w:tblGrid>
        <w:gridCol w:w="540"/>
        <w:gridCol w:w="10260"/>
      </w:tblGrid>
      <w:tr w:rsidR="00A60CEE" w:rsidTr="00A60CEE">
        <w:trPr>
          <w:tblCellSpacing w:w="0" w:type="dxa"/>
        </w:trPr>
        <w:tc>
          <w:tcPr>
            <w:tcW w:w="250" w:type="pct"/>
            <w:shd w:val="clear" w:color="auto" w:fill="FFFFFF"/>
            <w:vAlign w:val="center"/>
            <w:hideMark/>
          </w:tcPr>
          <w:p w:rsidR="00A60CEE" w:rsidRDefault="00A60CEE" w:rsidP="00E13FB9">
            <w:pPr>
              <w:jc w:val="both"/>
              <w:rPr>
                <w:sz w:val="24"/>
                <w:szCs w:val="24"/>
              </w:rPr>
            </w:pPr>
            <w:r>
              <w:rPr>
                <w:noProof/>
              </w:rPr>
              <w:drawing>
                <wp:inline distT="0" distB="0" distL="0" distR="0">
                  <wp:extent cx="95250" cy="200025"/>
                  <wp:effectExtent l="19050" t="0" r="0" b="0"/>
                  <wp:docPr id="120" name="Picture 1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 "/>
                          <pic:cNvPicPr>
                            <a:picLocks noChangeAspect="1" noChangeArrowheads="1"/>
                          </pic:cNvPicPr>
                        </pic:nvPicPr>
                        <pic:blipFill>
                          <a:blip r:embed="rId94"/>
                          <a:srcRect/>
                          <a:stretch>
                            <a:fillRect/>
                          </a:stretch>
                        </pic:blipFill>
                        <pic:spPr bwMode="auto">
                          <a:xfrm>
                            <a:off x="0" y="0"/>
                            <a:ext cx="95250" cy="200025"/>
                          </a:xfrm>
                          <a:prstGeom prst="rect">
                            <a:avLst/>
                          </a:prstGeom>
                          <a:noFill/>
                          <a:ln w="9525">
                            <a:noFill/>
                            <a:miter lim="800000"/>
                            <a:headEnd/>
                            <a:tailEnd/>
                          </a:ln>
                        </pic:spPr>
                      </pic:pic>
                    </a:graphicData>
                  </a:graphic>
                </wp:inline>
              </w:drawing>
            </w:r>
          </w:p>
        </w:tc>
        <w:tc>
          <w:tcPr>
            <w:tcW w:w="4750" w:type="pct"/>
            <w:shd w:val="clear" w:color="auto" w:fill="E1E1E1"/>
            <w:vAlign w:val="center"/>
            <w:hideMark/>
          </w:tcPr>
          <w:p w:rsidR="00A60CEE" w:rsidRDefault="00A60CEE" w:rsidP="00E13FB9">
            <w:pPr>
              <w:jc w:val="both"/>
              <w:rPr>
                <w:b/>
                <w:bCs/>
                <w:sz w:val="24"/>
                <w:szCs w:val="24"/>
              </w:rPr>
            </w:pPr>
            <w:r>
              <w:rPr>
                <w:b/>
                <w:bCs/>
                <w:sz w:val="36"/>
                <w:szCs w:val="36"/>
              </w:rPr>
              <w:t xml:space="preserve">   References </w:t>
            </w:r>
          </w:p>
        </w:tc>
      </w:tr>
    </w:tbl>
    <w:tbl>
      <w:tblPr>
        <w:tblpPr w:leftFromText="45" w:rightFromText="45" w:vertAnchor="text" w:tblpXSpec="right" w:tblpYSpec="center"/>
        <w:tblW w:w="0" w:type="auto"/>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46"/>
      </w:tblGrid>
      <w:tr w:rsidR="00A60CEE" w:rsidTr="00A60C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60CEE" w:rsidRDefault="00A60CEE" w:rsidP="00E13FB9">
            <w:pPr>
              <w:jc w:val="both"/>
              <w:rPr>
                <w:b/>
                <w:bCs/>
                <w:sz w:val="24"/>
                <w:szCs w:val="24"/>
              </w:rPr>
            </w:pPr>
          </w:p>
        </w:tc>
      </w:tr>
    </w:tbl>
    <w:p w:rsidR="00A60CEE" w:rsidRDefault="00A60CEE" w:rsidP="00E13FB9">
      <w:pPr>
        <w:pStyle w:val="NormalWeb"/>
        <w:jc w:val="both"/>
      </w:pPr>
      <w:r>
        <w:t> </w:t>
      </w:r>
    </w:p>
    <w:p w:rsidR="00A60CEE" w:rsidRDefault="00A60CEE" w:rsidP="00E13FB9">
      <w:pPr>
        <w:numPr>
          <w:ilvl w:val="0"/>
          <w:numId w:val="3"/>
        </w:numPr>
        <w:spacing w:before="100" w:beforeAutospacing="1" w:after="100" w:afterAutospacing="1" w:line="240" w:lineRule="auto"/>
        <w:jc w:val="both"/>
      </w:pPr>
      <w:bookmarkStart w:id="27" w:name="R1"/>
      <w:bookmarkEnd w:id="27"/>
      <w:r>
        <w:rPr>
          <w:b/>
          <w:bCs/>
        </w:rPr>
        <w:t>Batterham RL, Bloom SR</w:t>
      </w:r>
      <w:r>
        <w:t xml:space="preserve"> 2003 The gut hormone peptide YY regulates appetite. Ann NY Acad Sci 994:162–168</w:t>
      </w:r>
      <w:hyperlink r:id="rId176" w:history="1">
        <w:r>
          <w:rPr>
            <w:rStyle w:val="Hyperlink"/>
          </w:rPr>
          <w:t>[CrossRef]</w:t>
        </w:r>
      </w:hyperlink>
      <w:hyperlink r:id="rId177" w:history="1">
        <w:r>
          <w:rPr>
            <w:rStyle w:val="Hyperlink"/>
          </w:rPr>
          <w:t>[Medline]</w:t>
        </w:r>
      </w:hyperlink>
      <w:bookmarkStart w:id="28" w:name="R2"/>
      <w:bookmarkEnd w:id="28"/>
      <w:r>
        <w:t xml:space="preserve"> </w:t>
      </w:r>
    </w:p>
    <w:p w:rsidR="00A60CEE" w:rsidRDefault="00A60CEE" w:rsidP="00E13FB9">
      <w:pPr>
        <w:numPr>
          <w:ilvl w:val="0"/>
          <w:numId w:val="4"/>
        </w:numPr>
        <w:spacing w:before="100" w:beforeAutospacing="1" w:after="100" w:afterAutospacing="1" w:line="240" w:lineRule="auto"/>
        <w:jc w:val="both"/>
      </w:pPr>
      <w:r>
        <w:rPr>
          <w:b/>
          <w:bCs/>
        </w:rPr>
        <w:t>Batterham RL, Cohen MA, Ellis SM, Le Roux CW, Withers DJ, Frost GS, Ghatei MA, Bloom SR</w:t>
      </w:r>
      <w:r>
        <w:t xml:space="preserve"> 2003 Inhibition of food intake in obese subjects by peptide YY3–36. N Engl J Med 349:941–948</w:t>
      </w:r>
      <w:hyperlink r:id="rId178" w:history="1">
        <w:r>
          <w:rPr>
            <w:rStyle w:val="Hyperlink"/>
          </w:rPr>
          <w:t>[Abstract/</w:t>
        </w:r>
        <w:r>
          <w:rPr>
            <w:rStyle w:val="Hyperlink"/>
            <w:color w:val="CC0000"/>
          </w:rPr>
          <w:t>Free</w:t>
        </w:r>
        <w:r>
          <w:rPr>
            <w:rStyle w:val="Hyperlink"/>
          </w:rPr>
          <w:t> Full Text]</w:t>
        </w:r>
      </w:hyperlink>
      <w:bookmarkStart w:id="29" w:name="R3"/>
      <w:bookmarkEnd w:id="29"/>
      <w:r>
        <w:t xml:space="preserve"> </w:t>
      </w:r>
    </w:p>
    <w:p w:rsidR="00A60CEE" w:rsidRDefault="00A60CEE" w:rsidP="00E13FB9">
      <w:pPr>
        <w:numPr>
          <w:ilvl w:val="0"/>
          <w:numId w:val="5"/>
        </w:numPr>
        <w:spacing w:before="100" w:beforeAutospacing="1" w:after="100" w:afterAutospacing="1" w:line="240" w:lineRule="auto"/>
        <w:jc w:val="both"/>
      </w:pPr>
      <w:r>
        <w:rPr>
          <w:b/>
          <w:bCs/>
        </w:rPr>
        <w:t>Batterham RL, Cowley MA, Small CJ, Herzog H, Cohen MA, Dakin CL, Wren AM, Brynes AE, Low MJ, Ghatei MA, Cone RD, Bloom SR</w:t>
      </w:r>
      <w:r>
        <w:t xml:space="preserve"> 2002 Gut hormone PYY(3–36) physiologically inhibits food intake. Nature 418:650–654</w:t>
      </w:r>
      <w:hyperlink r:id="rId179" w:history="1">
        <w:r>
          <w:rPr>
            <w:rStyle w:val="Hyperlink"/>
          </w:rPr>
          <w:t>[CrossRef]</w:t>
        </w:r>
      </w:hyperlink>
      <w:hyperlink r:id="rId180" w:history="1">
        <w:r>
          <w:rPr>
            <w:rStyle w:val="Hyperlink"/>
          </w:rPr>
          <w:t>[Medline]</w:t>
        </w:r>
      </w:hyperlink>
      <w:bookmarkStart w:id="30" w:name="R4"/>
      <w:bookmarkEnd w:id="30"/>
      <w:r>
        <w:t xml:space="preserve"> </w:t>
      </w:r>
    </w:p>
    <w:p w:rsidR="00A60CEE" w:rsidRDefault="00A60CEE" w:rsidP="00E13FB9">
      <w:pPr>
        <w:numPr>
          <w:ilvl w:val="0"/>
          <w:numId w:val="6"/>
        </w:numPr>
        <w:spacing w:before="100" w:beforeAutospacing="1" w:after="100" w:afterAutospacing="1" w:line="240" w:lineRule="auto"/>
        <w:jc w:val="both"/>
      </w:pPr>
      <w:r>
        <w:rPr>
          <w:b/>
          <w:bCs/>
        </w:rPr>
        <w:t>Broome M, Hokfelt T, Terenius L</w:t>
      </w:r>
      <w:r>
        <w:t xml:space="preserve"> 1985 Peptide YY (PYY)-immunoreactive neurons in the lower brain stem and spinal cord of rat. Acta Physiol Scand 125:349–352</w:t>
      </w:r>
      <w:hyperlink r:id="rId181" w:history="1">
        <w:r>
          <w:rPr>
            <w:rStyle w:val="Hyperlink"/>
          </w:rPr>
          <w:t>[Medline]</w:t>
        </w:r>
      </w:hyperlink>
      <w:bookmarkStart w:id="31" w:name="R5"/>
      <w:bookmarkEnd w:id="31"/>
      <w:r>
        <w:t xml:space="preserve"> </w:t>
      </w:r>
    </w:p>
    <w:p w:rsidR="00A60CEE" w:rsidRDefault="00A60CEE" w:rsidP="00E13FB9">
      <w:pPr>
        <w:numPr>
          <w:ilvl w:val="0"/>
          <w:numId w:val="7"/>
        </w:numPr>
        <w:spacing w:before="100" w:beforeAutospacing="1" w:after="100" w:afterAutospacing="1" w:line="240" w:lineRule="auto"/>
        <w:jc w:val="both"/>
      </w:pPr>
      <w:r>
        <w:rPr>
          <w:b/>
          <w:bCs/>
        </w:rPr>
        <w:t>Grandt D, Schimiczek M, Beglinger C, Layer P, Goebell H, Eysselein VE, Reeve Jr JR</w:t>
      </w:r>
      <w:r>
        <w:t xml:space="preserve"> 1994 Two molecular forms of peptide YY (PYY) are abundant in human blood: characterization of a radioimmunoassay recognizing PYY 1–36 and PYY 3–36. Regul Pept 51:151–159</w:t>
      </w:r>
      <w:hyperlink r:id="rId182" w:history="1">
        <w:r>
          <w:rPr>
            <w:rStyle w:val="Hyperlink"/>
          </w:rPr>
          <w:t>[CrossRef]</w:t>
        </w:r>
      </w:hyperlink>
      <w:hyperlink r:id="rId183" w:history="1">
        <w:r>
          <w:rPr>
            <w:rStyle w:val="Hyperlink"/>
          </w:rPr>
          <w:t>[Medline]</w:t>
        </w:r>
      </w:hyperlink>
      <w:bookmarkStart w:id="32" w:name="R6"/>
      <w:bookmarkEnd w:id="32"/>
      <w:r>
        <w:t xml:space="preserve"> </w:t>
      </w:r>
    </w:p>
    <w:p w:rsidR="00A60CEE" w:rsidRDefault="00A60CEE" w:rsidP="00E13FB9">
      <w:pPr>
        <w:numPr>
          <w:ilvl w:val="0"/>
          <w:numId w:val="8"/>
        </w:numPr>
        <w:spacing w:before="100" w:beforeAutospacing="1" w:after="100" w:afterAutospacing="1" w:line="240" w:lineRule="auto"/>
        <w:jc w:val="both"/>
      </w:pPr>
      <w:r>
        <w:rPr>
          <w:b/>
          <w:bCs/>
        </w:rPr>
        <w:t>Grandt D, Schimiczek M, Struk K, Shively J, Eysselein VE, Goebell H, Reeve Jr JR</w:t>
      </w:r>
      <w:r>
        <w:t xml:space="preserve"> 1994 Characterization of two forms of peptide YY, PYY(1–36) and PYY(3–36), in the rabbit. Peptides 15:815–820</w:t>
      </w:r>
      <w:hyperlink r:id="rId184" w:history="1">
        <w:r>
          <w:rPr>
            <w:rStyle w:val="Hyperlink"/>
          </w:rPr>
          <w:t>[CrossRef]</w:t>
        </w:r>
      </w:hyperlink>
      <w:hyperlink r:id="rId185" w:history="1">
        <w:r>
          <w:rPr>
            <w:rStyle w:val="Hyperlink"/>
          </w:rPr>
          <w:t>[Medline]</w:t>
        </w:r>
      </w:hyperlink>
      <w:bookmarkStart w:id="33" w:name="R7"/>
      <w:bookmarkEnd w:id="33"/>
    </w:p>
    <w:p w:rsidR="00A60CEE" w:rsidRDefault="00A60CEE" w:rsidP="00E13FB9">
      <w:pPr>
        <w:jc w:val="both"/>
      </w:pPr>
    </w:p>
    <w:p w:rsidR="00A60CEE" w:rsidRDefault="00A60CEE" w:rsidP="00E13FB9">
      <w:pPr>
        <w:jc w:val="both"/>
      </w:pPr>
    </w:p>
    <w:p w:rsidR="00A60CEE" w:rsidRDefault="00A60CEE" w:rsidP="00E13FB9">
      <w:pPr>
        <w:pStyle w:val="Heading1"/>
        <w:shd w:val="clear" w:color="auto" w:fill="F4F4F4"/>
        <w:jc w:val="both"/>
      </w:pPr>
      <w:r>
        <w:t>How to gain weight?</w:t>
      </w:r>
    </w:p>
    <w:p w:rsidR="00A60CEE" w:rsidRDefault="00A60CEE" w:rsidP="00E13FB9">
      <w:pPr>
        <w:shd w:val="clear" w:color="auto" w:fill="F4F4F4"/>
        <w:jc w:val="both"/>
        <w:rPr>
          <w:rFonts w:ascii="Arial" w:hAnsi="Arial" w:cs="Arial"/>
          <w:color w:val="000000"/>
          <w:sz w:val="18"/>
          <w:szCs w:val="18"/>
        </w:rPr>
      </w:pPr>
      <w:r>
        <w:rPr>
          <w:rFonts w:ascii="Arial" w:hAnsi="Arial" w:cs="Arial"/>
          <w:color w:val="000000"/>
          <w:sz w:val="18"/>
          <w:szCs w:val="18"/>
        </w:rPr>
        <w:t xml:space="preserve">While most of the people find overweight problems and struggle to keep the kilos off, others find it just as challenging to put weight on. It is due to improper diet and unhealthy practices that make many people lose their weight. </w:t>
      </w:r>
    </w:p>
    <w:p w:rsidR="00A60CEE" w:rsidRDefault="00A60CEE" w:rsidP="00E13FB9">
      <w:pPr>
        <w:jc w:val="both"/>
        <w:rPr>
          <w:rFonts w:ascii="Arial" w:hAnsi="Arial" w:cs="Arial"/>
          <w:color w:val="000000"/>
          <w:sz w:val="20"/>
          <w:szCs w:val="20"/>
        </w:rPr>
      </w:pPr>
      <w:r>
        <w:rPr>
          <w:rFonts w:ascii="Arial" w:hAnsi="Arial" w:cs="Arial"/>
          <w:color w:val="000000"/>
          <w:sz w:val="20"/>
          <w:szCs w:val="20"/>
        </w:rPr>
        <w:lastRenderedPageBreak/>
        <w:t xml:space="preserve">Risks associated with being too skinny include complications in surgery and slow recovery after illnesses. However it can be recovered by having proper diet that puts on weight. The energy density of foods is important factor to gain weight. Energy density refers to the amount of energy or calories compared to the weight of the food. </w:t>
      </w:r>
      <w:r>
        <w:rPr>
          <w:rFonts w:ascii="Arial" w:hAnsi="Arial" w:cs="Arial"/>
          <w:color w:val="000000"/>
          <w:sz w:val="20"/>
          <w:szCs w:val="20"/>
        </w:rPr>
        <w:br/>
      </w:r>
      <w:r>
        <w:rPr>
          <w:rFonts w:ascii="Arial" w:hAnsi="Arial" w:cs="Arial"/>
          <w:color w:val="000000"/>
          <w:sz w:val="20"/>
          <w:szCs w:val="20"/>
        </w:rPr>
        <w:br/>
        <w:t xml:space="preserve">Some people are just naturally thin no matter how much they eat and the envy of those who gain weight easily. If you are thin and want to get bigger and gain weight, here's some "how to gain weight" information that I think you may be able to use. </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 xml:space="preserve">Following are some of the guide lines for gaining weight </w:t>
      </w:r>
      <w:r>
        <w:rPr>
          <w:rFonts w:ascii="Arial" w:hAnsi="Arial" w:cs="Arial"/>
          <w:color w:val="000000"/>
          <w:sz w:val="20"/>
          <w:szCs w:val="20"/>
        </w:rPr>
        <w:br/>
        <w:t xml:space="preserve">Good habits: </w:t>
      </w:r>
      <w:r>
        <w:rPr>
          <w:rFonts w:ascii="Arial" w:hAnsi="Arial" w:cs="Arial"/>
          <w:color w:val="000000"/>
          <w:sz w:val="20"/>
          <w:szCs w:val="20"/>
        </w:rPr>
        <w:br/>
        <w:t xml:space="preserve">To gain weight, eat food with extremely high caloric value. Try to increase your food intake without consuming too much fat and sugar. Regular meals, especially breakfast, are important if you find it difficult to gain weight. Taking your time with meals and making sure you are relaxed is also important to ensure that your digestive system functions properly. Having some fixed timings and avoid eating in between so as to increase the hunger for food. </w:t>
      </w:r>
      <w:r>
        <w:rPr>
          <w:rFonts w:ascii="Arial" w:hAnsi="Arial" w:cs="Arial"/>
          <w:color w:val="000000"/>
          <w:sz w:val="20"/>
          <w:szCs w:val="20"/>
        </w:rPr>
        <w:br/>
      </w:r>
      <w:r>
        <w:rPr>
          <w:rFonts w:ascii="Arial" w:hAnsi="Arial" w:cs="Arial"/>
          <w:color w:val="000000"/>
          <w:sz w:val="20"/>
          <w:szCs w:val="20"/>
        </w:rPr>
        <w:br/>
        <w:t xml:space="preserve">Eat more </w:t>
      </w:r>
      <w:r>
        <w:rPr>
          <w:rFonts w:ascii="Arial" w:hAnsi="Arial" w:cs="Arial"/>
          <w:color w:val="000000"/>
          <w:sz w:val="20"/>
          <w:szCs w:val="20"/>
        </w:rPr>
        <w:br/>
        <w:t xml:space="preserve">Eat five or more meals a day. Drink plenty of fluids that supply calories like juice, milk, milkshakes, and sports beverages. Eat starchy grains and vegetables, such as rice, oats, pasta, potatoes, kumara, carrots and pumpkin. Add condiments such as yoghurt, sour cream, sauces and dressings to plain foods and salads. Eat bread with fatty spreads such as avocado, peanut butter and olive or canola oil margarines. Eating an extra 1000kJ over and above your daily needs can produce a weight increase of around 1kg per week. </w:t>
      </w:r>
      <w:r>
        <w:rPr>
          <w:rFonts w:ascii="Arial" w:hAnsi="Arial" w:cs="Arial"/>
          <w:color w:val="000000"/>
          <w:sz w:val="20"/>
          <w:szCs w:val="20"/>
        </w:rPr>
        <w:br/>
      </w:r>
      <w:r>
        <w:rPr>
          <w:rFonts w:ascii="Arial" w:hAnsi="Arial" w:cs="Arial"/>
          <w:color w:val="000000"/>
          <w:sz w:val="20"/>
          <w:szCs w:val="20"/>
        </w:rPr>
        <w:br/>
        <w:t xml:space="preserve">Protein </w:t>
      </w:r>
      <w:r>
        <w:rPr>
          <w:rFonts w:ascii="Arial" w:hAnsi="Arial" w:cs="Arial"/>
          <w:color w:val="000000"/>
          <w:sz w:val="20"/>
          <w:szCs w:val="20"/>
        </w:rPr>
        <w:br/>
        <w:t xml:space="preserve">Protein is essential to the body, for repair, to enable the immune system to function and for recovery from illness. If you are recovering from illness, it is important to include adequate protein in your diet. Good vegetarian sources of protein include: cereals, nuts &amp; seeds, Soya products (Soya milk, tofu, tempeh etc) and pulses. Milk, yoghurt, cheese, and free-range eggs are also excellent protein sources for the non-vegan. </w:t>
      </w:r>
      <w:r>
        <w:rPr>
          <w:rFonts w:ascii="Arial" w:hAnsi="Arial" w:cs="Arial"/>
          <w:color w:val="000000"/>
          <w:sz w:val="20"/>
          <w:szCs w:val="20"/>
        </w:rPr>
        <w:br/>
      </w:r>
      <w:r>
        <w:rPr>
          <w:rFonts w:ascii="Arial" w:hAnsi="Arial" w:cs="Arial"/>
          <w:color w:val="000000"/>
          <w:sz w:val="20"/>
          <w:szCs w:val="20"/>
        </w:rPr>
        <w:br/>
        <w:t xml:space="preserve">You must ensure that you include a protein source at each meal. Try to choose the energy dense sources of protein that are relatively soft and which do not contain to much fiber, for example, the Soya or dairy sources of protein. Eat dry fruits daily. Small size cashew nuts, almond and raisins have bundle of energy. </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 xml:space="preserve">What Should You Eat To Gain Weight? </w:t>
      </w:r>
      <w:r>
        <w:rPr>
          <w:rFonts w:ascii="Arial" w:hAnsi="Arial" w:cs="Arial"/>
          <w:color w:val="000000"/>
          <w:sz w:val="20"/>
          <w:szCs w:val="20"/>
        </w:rPr>
        <w:br/>
        <w:t xml:space="preserve">The following diet for gaining weight can supply those extra calories. Eat at least these group food items. </w:t>
      </w:r>
      <w:r>
        <w:rPr>
          <w:rFonts w:ascii="Arial" w:hAnsi="Arial" w:cs="Arial"/>
          <w:color w:val="000000"/>
          <w:sz w:val="20"/>
          <w:szCs w:val="20"/>
        </w:rPr>
        <w:br/>
      </w:r>
      <w:r>
        <w:rPr>
          <w:rFonts w:ascii="Arial" w:hAnsi="Arial" w:cs="Arial"/>
          <w:color w:val="000000"/>
          <w:sz w:val="20"/>
          <w:szCs w:val="20"/>
        </w:rPr>
        <w:br/>
        <w:t xml:space="preserve">a) Milk Group: milk, cheese, yogurt, cottage cheese, ice cream. </w:t>
      </w:r>
      <w:r>
        <w:rPr>
          <w:rFonts w:ascii="Arial" w:hAnsi="Arial" w:cs="Arial"/>
          <w:color w:val="000000"/>
          <w:sz w:val="20"/>
          <w:szCs w:val="20"/>
        </w:rPr>
        <w:br/>
        <w:t xml:space="preserve">b) Meat Group: meat, fish, poultry, eggs, dried beans and peas, nuts. </w:t>
      </w:r>
      <w:r>
        <w:rPr>
          <w:rFonts w:ascii="Arial" w:hAnsi="Arial" w:cs="Arial"/>
          <w:color w:val="000000"/>
          <w:sz w:val="20"/>
          <w:szCs w:val="20"/>
        </w:rPr>
        <w:br/>
        <w:t xml:space="preserve">c) Vegetable Group: fresh, frozen, canned, juiced vegetables. </w:t>
      </w:r>
      <w:r>
        <w:rPr>
          <w:rFonts w:ascii="Arial" w:hAnsi="Arial" w:cs="Arial"/>
          <w:color w:val="000000"/>
          <w:sz w:val="20"/>
          <w:szCs w:val="20"/>
        </w:rPr>
        <w:br/>
        <w:t xml:space="preserve">d) Fruit Group: Fresh, frozen, canned, dried, juiced fruits. </w:t>
      </w:r>
      <w:r>
        <w:rPr>
          <w:rFonts w:ascii="Arial" w:hAnsi="Arial" w:cs="Arial"/>
          <w:color w:val="000000"/>
          <w:sz w:val="20"/>
          <w:szCs w:val="20"/>
        </w:rPr>
        <w:br/>
        <w:t xml:space="preserve">e) Grain Group: Cereals, breads, rolls, pasta, muffins, pancakes, grits, rice. </w:t>
      </w:r>
      <w:r>
        <w:rPr>
          <w:rFonts w:ascii="Arial" w:hAnsi="Arial" w:cs="Arial"/>
          <w:color w:val="000000"/>
          <w:sz w:val="20"/>
          <w:szCs w:val="20"/>
        </w:rPr>
        <w:br/>
      </w:r>
      <w:r>
        <w:rPr>
          <w:rFonts w:ascii="Arial" w:hAnsi="Arial" w:cs="Arial"/>
          <w:color w:val="000000"/>
          <w:sz w:val="20"/>
          <w:szCs w:val="20"/>
        </w:rPr>
        <w:br/>
        <w:t xml:space="preserve">Alcohol can also be taken in small sips, perhaps before meals, as it may help improve your appetite. Alcohol must be taken after your doctor’s permission only. If you like oily food then try adding some vegetable oil or vegetable margarine to your food, particularly to mashed pulses, salads and potatoes. Go for fried foods if you love eating it. </w:t>
      </w:r>
      <w:r>
        <w:rPr>
          <w:rFonts w:ascii="Arial" w:hAnsi="Arial" w:cs="Arial"/>
          <w:color w:val="000000"/>
          <w:sz w:val="20"/>
          <w:szCs w:val="20"/>
        </w:rPr>
        <w:br/>
      </w:r>
      <w:r>
        <w:rPr>
          <w:rFonts w:ascii="Arial" w:hAnsi="Arial" w:cs="Arial"/>
          <w:color w:val="000000"/>
          <w:sz w:val="20"/>
          <w:szCs w:val="20"/>
        </w:rPr>
        <w:br/>
        <w:t xml:space="preserve">Avoid Caffeine and Nicotine </w:t>
      </w:r>
      <w:r>
        <w:rPr>
          <w:rFonts w:ascii="Arial" w:hAnsi="Arial" w:cs="Arial"/>
          <w:color w:val="000000"/>
          <w:sz w:val="20"/>
          <w:szCs w:val="20"/>
        </w:rPr>
        <w:br/>
        <w:t xml:space="preserve">Caffeine and nicotine are good stimulants and help to increase the metabolism of our body. Avoid having these stimulants in excess quantity to help your body retain maximum nutritional value from what you eat. </w:t>
      </w:r>
      <w:r>
        <w:rPr>
          <w:rFonts w:ascii="Arial" w:hAnsi="Arial" w:cs="Arial"/>
          <w:color w:val="000000"/>
          <w:sz w:val="20"/>
          <w:szCs w:val="20"/>
        </w:rPr>
        <w:br/>
      </w:r>
      <w:r>
        <w:rPr>
          <w:rFonts w:ascii="Arial" w:hAnsi="Arial" w:cs="Arial"/>
          <w:color w:val="000000"/>
          <w:sz w:val="20"/>
          <w:szCs w:val="20"/>
        </w:rPr>
        <w:br/>
        <w:t xml:space="preserve">Eat Late </w:t>
      </w:r>
      <w:r>
        <w:rPr>
          <w:rFonts w:ascii="Arial" w:hAnsi="Arial" w:cs="Arial"/>
          <w:color w:val="000000"/>
          <w:sz w:val="20"/>
          <w:szCs w:val="20"/>
        </w:rPr>
        <w:br/>
        <w:t xml:space="preserve">Having snacks at bedtime may help to gain weight, as long as it does not interfere with sleep. To gain optimal nutritional value from the food you have eaten you must relax after having meal. </w:t>
      </w:r>
      <w:r>
        <w:rPr>
          <w:rFonts w:ascii="Arial" w:hAnsi="Arial" w:cs="Arial"/>
          <w:color w:val="000000"/>
          <w:sz w:val="20"/>
          <w:szCs w:val="20"/>
        </w:rPr>
        <w:br/>
      </w:r>
      <w:r>
        <w:rPr>
          <w:rFonts w:ascii="Arial" w:hAnsi="Arial" w:cs="Arial"/>
          <w:color w:val="000000"/>
          <w:sz w:val="20"/>
          <w:szCs w:val="20"/>
        </w:rPr>
        <w:lastRenderedPageBreak/>
        <w:br/>
        <w:t xml:space="preserve">Eat Frequently </w:t>
      </w:r>
      <w:r>
        <w:rPr>
          <w:rFonts w:ascii="Arial" w:hAnsi="Arial" w:cs="Arial"/>
          <w:color w:val="000000"/>
          <w:sz w:val="20"/>
          <w:szCs w:val="20"/>
        </w:rPr>
        <w:br/>
        <w:t xml:space="preserve">If you have food just for one or two times than it slows down the weight gain since it makes you feel that your stomach is full. Go for smaller meals and snacks throughout the day since it increases the food intake of our body. </w:t>
      </w:r>
      <w:r>
        <w:rPr>
          <w:rFonts w:ascii="Arial" w:hAnsi="Arial" w:cs="Arial"/>
          <w:color w:val="000000"/>
          <w:sz w:val="20"/>
          <w:szCs w:val="20"/>
        </w:rPr>
        <w:br/>
      </w:r>
      <w:r>
        <w:rPr>
          <w:rFonts w:ascii="Arial" w:hAnsi="Arial" w:cs="Arial"/>
          <w:color w:val="000000"/>
          <w:sz w:val="20"/>
          <w:szCs w:val="20"/>
        </w:rPr>
        <w:br/>
        <w:t xml:space="preserve">Exercise </w:t>
      </w:r>
      <w:r>
        <w:rPr>
          <w:rFonts w:ascii="Arial" w:hAnsi="Arial" w:cs="Arial"/>
          <w:color w:val="000000"/>
          <w:sz w:val="20"/>
          <w:szCs w:val="20"/>
        </w:rPr>
        <w:br/>
        <w:t xml:space="preserve">While doing exercise it should be done such that muscles are stretched out. You don't have to do it excessively; rather you must subject your body to out of the ordinary stress each workout to grow muscle and to gain weight. </w:t>
      </w:r>
      <w:r>
        <w:rPr>
          <w:rFonts w:ascii="Arial" w:hAnsi="Arial" w:cs="Arial"/>
          <w:color w:val="000000"/>
          <w:sz w:val="20"/>
          <w:szCs w:val="20"/>
        </w:rPr>
        <w:br/>
      </w:r>
      <w:r>
        <w:rPr>
          <w:rFonts w:ascii="Arial" w:hAnsi="Arial" w:cs="Arial"/>
          <w:color w:val="000000"/>
          <w:sz w:val="20"/>
          <w:szCs w:val="20"/>
        </w:rPr>
        <w:br/>
        <w:t xml:space="preserve">Inborn factors can play a large role in physique. If our parents are thin means we have less chance to put on weight. Many non-nutritional factors can also contribute to low body weight, such as stress or nervous tension. Good nutrition, rest, relaxation and regular exercise help in increasing body mass. So be happy and eat healthy food after all "Health is wealth". </w:t>
      </w:r>
      <w:r>
        <w:rPr>
          <w:rFonts w:ascii="Arial" w:hAnsi="Arial" w:cs="Arial"/>
          <w:color w:val="000000"/>
          <w:sz w:val="20"/>
          <w:szCs w:val="20"/>
        </w:rPr>
        <w:br/>
      </w:r>
    </w:p>
    <w:p w:rsidR="00A60CEE" w:rsidRDefault="00DF6AEA" w:rsidP="00E13FB9">
      <w:pPr>
        <w:jc w:val="both"/>
      </w:pPr>
      <w:r>
        <w:t>##</w:t>
      </w:r>
    </w:p>
    <w:p w:rsidR="00DF6AEA" w:rsidRDefault="00DF6AEA" w:rsidP="00E13FB9">
      <w:pPr>
        <w:pStyle w:val="Heading1"/>
        <w:jc w:val="both"/>
        <w:rPr>
          <w:sz w:val="36"/>
          <w:szCs w:val="36"/>
        </w:rPr>
      </w:pPr>
      <w:r>
        <w:rPr>
          <w:rFonts w:ascii="AGaramond Bold" w:hAnsi="AGaramond Bold"/>
        </w:rPr>
        <w:t>What is Nuclear medicine?</w:t>
      </w:r>
    </w:p>
    <w:p w:rsidR="00DF6AEA" w:rsidRDefault="00DF6AEA" w:rsidP="00E13FB9">
      <w:pPr>
        <w:pStyle w:val="NormalWeb"/>
        <w:jc w:val="both"/>
        <w:rPr>
          <w:rFonts w:ascii="Arial" w:hAnsi="Arial" w:cs="Arial"/>
          <w:b/>
          <w:bCs/>
          <w:sz w:val="36"/>
          <w:szCs w:val="36"/>
        </w:rPr>
      </w:pPr>
      <w:r>
        <w:rPr>
          <w:rFonts w:ascii="AGaramond Bold" w:hAnsi="AGaramond Bold" w:cs="Arial"/>
          <w:b/>
          <w:bCs/>
          <w:noProof/>
          <w:sz w:val="36"/>
          <w:szCs w:val="36"/>
        </w:rPr>
        <w:drawing>
          <wp:inline distT="0" distB="0" distL="0" distR="0">
            <wp:extent cx="2000250" cy="2600325"/>
            <wp:effectExtent l="19050" t="0" r="0" b="0"/>
            <wp:docPr id="2" name="Picture 245" descr="http://www.nuclearimaging.com.au/Documents/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www.nuclearimaging.com.au/Documents/Image3.gif"/>
                    <pic:cNvPicPr>
                      <a:picLocks noChangeAspect="1" noChangeArrowheads="1"/>
                    </pic:cNvPicPr>
                  </pic:nvPicPr>
                  <pic:blipFill>
                    <a:blip r:embed="rId186"/>
                    <a:srcRect/>
                    <a:stretch>
                      <a:fillRect/>
                    </a:stretch>
                  </pic:blipFill>
                  <pic:spPr bwMode="auto">
                    <a:xfrm>
                      <a:off x="0" y="0"/>
                      <a:ext cx="2000250" cy="2600325"/>
                    </a:xfrm>
                    <a:prstGeom prst="rect">
                      <a:avLst/>
                    </a:prstGeom>
                    <a:noFill/>
                    <a:ln w="9525">
                      <a:noFill/>
                      <a:miter lim="800000"/>
                      <a:headEnd/>
                      <a:tailEnd/>
                    </a:ln>
                  </pic:spPr>
                </pic:pic>
              </a:graphicData>
            </a:graphic>
          </wp:inline>
        </w:drawing>
      </w:r>
      <w:r>
        <w:rPr>
          <w:rFonts w:ascii="Arial" w:hAnsi="Arial" w:cs="Arial"/>
          <w:b/>
          <w:bCs/>
          <w:sz w:val="36"/>
          <w:szCs w:val="36"/>
        </w:rPr>
        <w:t>Nuclear Medicine</w:t>
      </w:r>
    </w:p>
    <w:p w:rsidR="00DF6AEA" w:rsidRDefault="00DF6AEA" w:rsidP="00E13FB9">
      <w:pPr>
        <w:pStyle w:val="NormalWeb"/>
        <w:jc w:val="both"/>
        <w:rPr>
          <w:rFonts w:ascii="Arial" w:hAnsi="Arial" w:cs="Arial"/>
          <w:b/>
          <w:bCs/>
        </w:rPr>
      </w:pPr>
      <w:r>
        <w:rPr>
          <w:rFonts w:ascii="Arial" w:hAnsi="Arial" w:cs="Arial"/>
          <w:b/>
          <w:bCs/>
          <w:sz w:val="36"/>
          <w:szCs w:val="36"/>
        </w:rPr>
        <w:t>Answering Your Questions</w:t>
      </w:r>
    </w:p>
    <w:p w:rsidR="00DF6AEA" w:rsidRDefault="00DF6AEA" w:rsidP="00E13FB9">
      <w:pPr>
        <w:pStyle w:val="NormalWeb"/>
        <w:jc w:val="both"/>
        <w:rPr>
          <w:rFonts w:ascii="Arial" w:hAnsi="Arial" w:cs="Arial"/>
          <w:sz w:val="20"/>
          <w:szCs w:val="20"/>
        </w:rPr>
      </w:pPr>
      <w:r>
        <w:rPr>
          <w:rFonts w:ascii="Arial" w:hAnsi="Arial" w:cs="Arial"/>
          <w:b/>
          <w:bCs/>
        </w:rPr>
        <w:t>What is nuclear medicine?</w:t>
      </w:r>
    </w:p>
    <w:p w:rsidR="00DF6AEA" w:rsidRDefault="00DF6AEA" w:rsidP="00E13FB9">
      <w:pPr>
        <w:pStyle w:val="NormalWeb"/>
        <w:jc w:val="both"/>
        <w:rPr>
          <w:rFonts w:ascii="Arial" w:hAnsi="Arial" w:cs="Arial"/>
          <w:b/>
          <w:bCs/>
        </w:rPr>
      </w:pPr>
      <w:r>
        <w:rPr>
          <w:rFonts w:ascii="Arial" w:hAnsi="Arial" w:cs="Arial"/>
          <w:sz w:val="20"/>
          <w:szCs w:val="20"/>
        </w:rPr>
        <w:t>This is a branch of medicine that uses radiation to provide information about a person’s anatomy and the functioning of specific organs. In most cases, the information enables physicians to provide a quick, accurate diagnosis of conditions such as cancer, heart disease, thyroid disorders and bone fractures. In some cases, radiation is used to treat the condition.</w:t>
      </w:r>
    </w:p>
    <w:p w:rsidR="00DF6AEA" w:rsidRDefault="00DF6AEA" w:rsidP="00E13FB9">
      <w:pPr>
        <w:pStyle w:val="NormalWeb"/>
        <w:jc w:val="both"/>
        <w:rPr>
          <w:rFonts w:ascii="Arial" w:hAnsi="Arial" w:cs="Arial"/>
          <w:sz w:val="20"/>
          <w:szCs w:val="20"/>
        </w:rPr>
      </w:pPr>
      <w:r>
        <w:rPr>
          <w:rFonts w:ascii="Arial" w:hAnsi="Arial" w:cs="Arial"/>
          <w:b/>
          <w:bCs/>
        </w:rPr>
        <w:t>What are the benefits of nuclear medicine?</w:t>
      </w:r>
    </w:p>
    <w:p w:rsidR="00DF6AEA" w:rsidRDefault="00DF6AEA" w:rsidP="00E13FB9">
      <w:pPr>
        <w:pStyle w:val="NormalWeb"/>
        <w:jc w:val="both"/>
        <w:rPr>
          <w:rFonts w:ascii="Arial" w:hAnsi="Arial" w:cs="Arial"/>
          <w:sz w:val="20"/>
          <w:szCs w:val="20"/>
        </w:rPr>
      </w:pPr>
      <w:r>
        <w:rPr>
          <w:rFonts w:ascii="Arial" w:hAnsi="Arial" w:cs="Arial"/>
          <w:sz w:val="20"/>
          <w:szCs w:val="20"/>
        </w:rPr>
        <w:t>Nuclear medicine enables doctors to produce a quick, accurate diagnosis of a wide range of conditions and diseases in a person of any age. This allows the appropriate treatment to begin as early as possible, which means it has a far greater chance of being fully effective. In addition, the tests are painless and most scans expose patients to only minimal amounts of radiation. Nuclear medicine provides an effective means of examining whether some tissues are functioning properly.</w:t>
      </w:r>
    </w:p>
    <w:p w:rsidR="00DF6AEA" w:rsidRDefault="00DF6AEA" w:rsidP="00E13FB9">
      <w:pPr>
        <w:pStyle w:val="NormalWeb"/>
        <w:jc w:val="both"/>
        <w:rPr>
          <w:rFonts w:ascii="Arial" w:hAnsi="Arial" w:cs="Arial"/>
          <w:sz w:val="20"/>
          <w:szCs w:val="20"/>
        </w:rPr>
      </w:pPr>
      <w:r>
        <w:rPr>
          <w:rFonts w:ascii="Arial" w:hAnsi="Arial" w:cs="Arial"/>
          <w:sz w:val="20"/>
          <w:szCs w:val="20"/>
        </w:rPr>
        <w:lastRenderedPageBreak/>
        <w:t>Therapy using nuclear medicine is an effective, safe and relatively inexpensive way of controlling, and in some cases eliminating, conditions such as overactive thyroid, thyroid cancer and arthritis.</w:t>
      </w:r>
    </w:p>
    <w:p w:rsidR="00DF6AEA" w:rsidRDefault="00DF6AEA" w:rsidP="00E13FB9">
      <w:pPr>
        <w:pStyle w:val="NormalWeb"/>
        <w:jc w:val="both"/>
        <w:rPr>
          <w:rFonts w:ascii="Arial" w:hAnsi="Arial" w:cs="Arial"/>
          <w:b/>
          <w:bCs/>
        </w:rPr>
      </w:pPr>
      <w:r>
        <w:rPr>
          <w:rFonts w:ascii="Arial" w:hAnsi="Arial" w:cs="Arial"/>
          <w:sz w:val="20"/>
          <w:szCs w:val="20"/>
        </w:rPr>
        <w:t>Nuclear medicine is a vital part of health care as it gives many people the opportunity of continuing to live full and healthy lives.</w:t>
      </w:r>
    </w:p>
    <w:p w:rsidR="00DF6AEA" w:rsidRDefault="00DF6AEA" w:rsidP="00E13FB9">
      <w:pPr>
        <w:pStyle w:val="NormalWeb"/>
        <w:jc w:val="both"/>
        <w:rPr>
          <w:rFonts w:ascii="Arial" w:hAnsi="Arial" w:cs="Arial"/>
          <w:sz w:val="20"/>
          <w:szCs w:val="20"/>
        </w:rPr>
      </w:pPr>
      <w:r>
        <w:rPr>
          <w:rFonts w:ascii="Arial" w:hAnsi="Arial" w:cs="Arial"/>
          <w:b/>
          <w:bCs/>
        </w:rPr>
        <w:t>What is radiation?</w:t>
      </w:r>
    </w:p>
    <w:p w:rsidR="00DF6AEA" w:rsidRDefault="00DF6AEA" w:rsidP="00E13FB9">
      <w:pPr>
        <w:pStyle w:val="NormalWeb"/>
        <w:jc w:val="both"/>
        <w:rPr>
          <w:rFonts w:ascii="Arial" w:hAnsi="Arial" w:cs="Arial"/>
          <w:sz w:val="20"/>
          <w:szCs w:val="20"/>
        </w:rPr>
      </w:pPr>
      <w:r>
        <w:rPr>
          <w:rFonts w:ascii="Arial" w:hAnsi="Arial" w:cs="Arial"/>
          <w:sz w:val="20"/>
          <w:szCs w:val="20"/>
        </w:rPr>
        <w:t>Radiation is a type of energy that exists in our environment in many forms. It comes from both natural and man-made sources. Light that allows us to see, and the warmth we get from the sun or from a fire, are natural forms of radiation. Examples of man-made radiation include the microwave radiation that is used for cooking, and radio waves used for communication over long distances. Ionising radiation comes from both natural and man-made sources. It comes from outer space, the sun, the earth, the air and our food and drink, and from building materials such as concrete, bricks and mortar. This is the natural background radiation to which everyone is exposed. Nuclear medicine studies use ionising radiation, as do x-ray studies.</w:t>
      </w:r>
    </w:p>
    <w:p w:rsidR="00DF6AEA" w:rsidRDefault="00DF6AEA" w:rsidP="00E13FB9">
      <w:pPr>
        <w:pStyle w:val="NormalWeb"/>
        <w:jc w:val="both"/>
        <w:rPr>
          <w:rFonts w:ascii="Arial" w:hAnsi="Arial" w:cs="Arial"/>
          <w:b/>
          <w:bCs/>
        </w:rPr>
      </w:pPr>
      <w:r>
        <w:rPr>
          <w:rFonts w:ascii="Arial" w:hAnsi="Arial" w:cs="Arial"/>
          <w:noProof/>
          <w:sz w:val="20"/>
          <w:szCs w:val="20"/>
        </w:rPr>
        <w:drawing>
          <wp:inline distT="0" distB="0" distL="0" distR="0">
            <wp:extent cx="2076450" cy="1943100"/>
            <wp:effectExtent l="19050" t="0" r="0" b="0"/>
            <wp:docPr id="6" name="Picture 246" descr="http://www.nuclearimaging.com.au/Documents/Imag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www.nuclearimaging.com.au/Documents/Image4.gif"/>
                    <pic:cNvPicPr>
                      <a:picLocks noChangeAspect="1" noChangeArrowheads="1"/>
                    </pic:cNvPicPr>
                  </pic:nvPicPr>
                  <pic:blipFill>
                    <a:blip r:embed="rId187"/>
                    <a:srcRect/>
                    <a:stretch>
                      <a:fillRect/>
                    </a:stretch>
                  </pic:blipFill>
                  <pic:spPr bwMode="auto">
                    <a:xfrm>
                      <a:off x="0" y="0"/>
                      <a:ext cx="2076450" cy="1943100"/>
                    </a:xfrm>
                    <a:prstGeom prst="rect">
                      <a:avLst/>
                    </a:prstGeom>
                    <a:noFill/>
                    <a:ln w="9525">
                      <a:noFill/>
                      <a:miter lim="800000"/>
                      <a:headEnd/>
                      <a:tailEnd/>
                    </a:ln>
                  </pic:spPr>
                </pic:pic>
              </a:graphicData>
            </a:graphic>
          </wp:inline>
        </w:drawing>
      </w:r>
    </w:p>
    <w:p w:rsidR="00DF6AEA" w:rsidRDefault="00DF6AEA" w:rsidP="00E13FB9">
      <w:pPr>
        <w:pStyle w:val="NormalWeb"/>
        <w:jc w:val="both"/>
        <w:rPr>
          <w:rFonts w:ascii="Arial" w:hAnsi="Arial" w:cs="Arial"/>
          <w:sz w:val="20"/>
          <w:szCs w:val="20"/>
        </w:rPr>
      </w:pPr>
      <w:r>
        <w:rPr>
          <w:rFonts w:ascii="Arial" w:hAnsi="Arial" w:cs="Arial"/>
          <w:b/>
          <w:bCs/>
        </w:rPr>
        <w:t>Is nuclear medicine safe?</w:t>
      </w:r>
    </w:p>
    <w:p w:rsidR="00DF6AEA" w:rsidRDefault="00DF6AEA" w:rsidP="00E13FB9">
      <w:pPr>
        <w:pStyle w:val="NormalWeb"/>
        <w:jc w:val="both"/>
        <w:rPr>
          <w:rFonts w:ascii="Arial" w:hAnsi="Arial" w:cs="Arial"/>
          <w:b/>
          <w:bCs/>
        </w:rPr>
      </w:pPr>
      <w:r>
        <w:rPr>
          <w:rFonts w:ascii="Arial" w:hAnsi="Arial" w:cs="Arial"/>
          <w:sz w:val="20"/>
          <w:szCs w:val="20"/>
        </w:rPr>
        <w:t xml:space="preserve">Nuclear medicine is extremely safe because the radioactive tracers, or radiopharmaceuticals, used are quickly eliminated from the body through its natural functions. In addition, the tracers used rapidly lose their radioactivity. In most cases, the dose of radiation necessary for a scan is very small. For example, a patient having a lung scan is exposed to the same dose of radiation they would receive from two return air flights between Sydney and London. </w:t>
      </w:r>
    </w:p>
    <w:p w:rsidR="00DF6AEA" w:rsidRDefault="00DF6AEA" w:rsidP="00E13FB9">
      <w:pPr>
        <w:pStyle w:val="NormalWeb"/>
        <w:jc w:val="both"/>
        <w:rPr>
          <w:rFonts w:ascii="Arial" w:hAnsi="Arial" w:cs="Arial"/>
          <w:sz w:val="20"/>
          <w:szCs w:val="20"/>
        </w:rPr>
      </w:pPr>
      <w:r>
        <w:rPr>
          <w:rFonts w:ascii="Arial" w:hAnsi="Arial" w:cs="Arial"/>
          <w:b/>
          <w:bCs/>
        </w:rPr>
        <w:t>How are radiopharmaceuticals produced?</w:t>
      </w:r>
    </w:p>
    <w:p w:rsidR="00DF6AEA" w:rsidRDefault="00DF6AEA" w:rsidP="00E13FB9">
      <w:pPr>
        <w:pStyle w:val="NormalWeb"/>
        <w:jc w:val="both"/>
        <w:rPr>
          <w:rFonts w:ascii="Arial" w:hAnsi="Arial" w:cs="Arial"/>
          <w:sz w:val="20"/>
          <w:szCs w:val="20"/>
        </w:rPr>
      </w:pPr>
      <w:r>
        <w:rPr>
          <w:rFonts w:ascii="Arial" w:hAnsi="Arial" w:cs="Arial"/>
          <w:sz w:val="20"/>
          <w:szCs w:val="20"/>
        </w:rPr>
        <w:t>Australia is one of a limited number of countries that produce the radioactive tracers necessary for diagnostic nuclear medicine. If we were not able to produce radiopharmaceuticals here, we would have to import them from as far away as Europe, South Africa or North America.</w:t>
      </w:r>
    </w:p>
    <w:p w:rsidR="00DF6AEA" w:rsidRDefault="00DF6AEA" w:rsidP="00E13FB9">
      <w:pPr>
        <w:pStyle w:val="NormalWeb"/>
        <w:jc w:val="both"/>
        <w:rPr>
          <w:rFonts w:ascii="Arial" w:hAnsi="Arial" w:cs="Arial"/>
          <w:sz w:val="20"/>
          <w:szCs w:val="20"/>
        </w:rPr>
      </w:pPr>
      <w:r>
        <w:rPr>
          <w:rFonts w:ascii="Arial" w:hAnsi="Arial" w:cs="Arial"/>
          <w:sz w:val="20"/>
          <w:szCs w:val="20"/>
        </w:rPr>
        <w:t>The radiopharmaceuticals are primarily manufactured at two facilities operated by ANSTO--at its nuclear research reactor located at Lucas Heights, near Sydney, and at its cyclotron at Camperdown in Sydney. Another, smaller, cyclotron operates in Melbourne. The manufacturing processes at all facilities are regulated by strict quality control requirements approved by government. Although both reactors and cyclotrons can produce radiopharmaceuticals, each produces a different type of radiopharmaceutical. Both types are supplied to nuclear medicine centres across Australia. Hence, both reactors and cyclotrons are necessary.</w:t>
      </w:r>
    </w:p>
    <w:p w:rsidR="00DF6AEA" w:rsidRDefault="00DF6AEA" w:rsidP="00E13FB9">
      <w:pPr>
        <w:pStyle w:val="NormalWeb"/>
        <w:jc w:val="both"/>
        <w:rPr>
          <w:rFonts w:ascii="Arial" w:hAnsi="Arial" w:cs="Arial"/>
          <w:b/>
          <w:bCs/>
        </w:rPr>
      </w:pPr>
      <w:r>
        <w:rPr>
          <w:rFonts w:ascii="Arial" w:hAnsi="Arial" w:cs="Arial"/>
          <w:sz w:val="20"/>
          <w:szCs w:val="20"/>
        </w:rPr>
        <w:t>Every year thousands of people are diagnosed and treated at nuclear medicine centres. Without access to this vital technology, they would face a reduced quality of medical care.</w:t>
      </w:r>
    </w:p>
    <w:p w:rsidR="00DF6AEA" w:rsidRDefault="00DF6AEA" w:rsidP="00E13FB9">
      <w:pPr>
        <w:pStyle w:val="NormalWeb"/>
        <w:jc w:val="both"/>
        <w:rPr>
          <w:rFonts w:ascii="Arial" w:hAnsi="Arial" w:cs="Arial"/>
          <w:sz w:val="20"/>
          <w:szCs w:val="20"/>
        </w:rPr>
      </w:pPr>
      <w:r>
        <w:rPr>
          <w:rFonts w:ascii="Arial" w:hAnsi="Arial" w:cs="Arial"/>
          <w:b/>
          <w:bCs/>
        </w:rPr>
        <w:t>When is a scan needed?</w:t>
      </w:r>
    </w:p>
    <w:p w:rsidR="00DF6AEA" w:rsidRDefault="00DF6AEA" w:rsidP="00E13FB9">
      <w:pPr>
        <w:pStyle w:val="NormalWeb"/>
        <w:jc w:val="both"/>
        <w:rPr>
          <w:rFonts w:ascii="Arial" w:hAnsi="Arial" w:cs="Arial"/>
          <w:b/>
          <w:bCs/>
        </w:rPr>
      </w:pPr>
      <w:r>
        <w:rPr>
          <w:rFonts w:ascii="Arial" w:hAnsi="Arial" w:cs="Arial"/>
          <w:sz w:val="20"/>
          <w:szCs w:val="20"/>
        </w:rPr>
        <w:lastRenderedPageBreak/>
        <w:t>Scans using radiopharmaceuticals can diagnose all sort of conditions. Scans of the heart, thyroid, lungs and kidney are common. However, by far the majority of scans involve the skeleton. These are usually carried out to diagnose infection, tumour spread, fractures and sports injuries.</w:t>
      </w:r>
    </w:p>
    <w:p w:rsidR="00DF6AEA" w:rsidRDefault="00DF6AEA" w:rsidP="00E13FB9">
      <w:pPr>
        <w:pStyle w:val="NormalWeb"/>
        <w:jc w:val="both"/>
        <w:rPr>
          <w:rFonts w:ascii="Arial" w:hAnsi="Arial" w:cs="Arial"/>
          <w:sz w:val="20"/>
          <w:szCs w:val="20"/>
        </w:rPr>
      </w:pPr>
      <w:r>
        <w:rPr>
          <w:rFonts w:ascii="Arial" w:hAnsi="Arial" w:cs="Arial"/>
          <w:b/>
          <w:bCs/>
        </w:rPr>
        <w:t>Should I prepare for a scan in any way?</w:t>
      </w:r>
    </w:p>
    <w:p w:rsidR="00DF6AEA" w:rsidRDefault="00DF6AEA" w:rsidP="00E13FB9">
      <w:pPr>
        <w:pStyle w:val="NormalWeb"/>
        <w:jc w:val="both"/>
        <w:rPr>
          <w:rFonts w:ascii="Arial" w:hAnsi="Arial" w:cs="Arial"/>
          <w:sz w:val="20"/>
          <w:szCs w:val="20"/>
        </w:rPr>
      </w:pPr>
      <w:r>
        <w:rPr>
          <w:rFonts w:ascii="Arial" w:hAnsi="Arial" w:cs="Arial"/>
          <w:sz w:val="20"/>
          <w:szCs w:val="20"/>
        </w:rPr>
        <w:t>Some tests may require special preparation. As with many other tests, if you are pregnant, or think you may be, or if you are breastfeeding, you must tell us. It is important that you read all the material given to you prior to your appointment. If further information is required, please ring your imaging centre.</w:t>
      </w:r>
    </w:p>
    <w:p w:rsidR="00DF6AEA" w:rsidRDefault="00DF6AEA" w:rsidP="00E13FB9">
      <w:pPr>
        <w:pStyle w:val="NormalWeb"/>
        <w:jc w:val="both"/>
        <w:rPr>
          <w:rFonts w:ascii="Arial" w:hAnsi="Arial" w:cs="Arial"/>
          <w:b/>
          <w:bCs/>
        </w:rPr>
      </w:pPr>
      <w:r>
        <w:rPr>
          <w:rFonts w:ascii="Arial" w:hAnsi="Arial" w:cs="Arial"/>
          <w:noProof/>
          <w:sz w:val="20"/>
          <w:szCs w:val="20"/>
        </w:rPr>
        <w:drawing>
          <wp:inline distT="0" distB="0" distL="0" distR="0">
            <wp:extent cx="1057275" cy="1495425"/>
            <wp:effectExtent l="19050" t="0" r="9525" b="0"/>
            <wp:docPr id="7" name="Picture 247" descr="http://www.nuclearimaging.com.au/Documents/Imag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www.nuclearimaging.com.au/Documents/Image5.gif"/>
                    <pic:cNvPicPr>
                      <a:picLocks noChangeAspect="1" noChangeArrowheads="1"/>
                    </pic:cNvPicPr>
                  </pic:nvPicPr>
                  <pic:blipFill>
                    <a:blip r:embed="rId188"/>
                    <a:srcRect/>
                    <a:stretch>
                      <a:fillRect/>
                    </a:stretch>
                  </pic:blipFill>
                  <pic:spPr bwMode="auto">
                    <a:xfrm>
                      <a:off x="0" y="0"/>
                      <a:ext cx="1057275" cy="1495425"/>
                    </a:xfrm>
                    <a:prstGeom prst="rect">
                      <a:avLst/>
                    </a:prstGeom>
                    <a:noFill/>
                    <a:ln w="9525">
                      <a:noFill/>
                      <a:miter lim="800000"/>
                      <a:headEnd/>
                      <a:tailEnd/>
                    </a:ln>
                  </pic:spPr>
                </pic:pic>
              </a:graphicData>
            </a:graphic>
          </wp:inline>
        </w:drawing>
      </w:r>
    </w:p>
    <w:p w:rsidR="00DF6AEA" w:rsidRDefault="00DF6AEA" w:rsidP="00E13FB9">
      <w:pPr>
        <w:pStyle w:val="NormalWeb"/>
        <w:jc w:val="both"/>
        <w:rPr>
          <w:rFonts w:ascii="Arial" w:hAnsi="Arial" w:cs="Arial"/>
          <w:sz w:val="20"/>
          <w:szCs w:val="20"/>
        </w:rPr>
      </w:pPr>
      <w:r>
        <w:rPr>
          <w:rFonts w:ascii="Arial" w:hAnsi="Arial" w:cs="Arial"/>
          <w:b/>
          <w:bCs/>
        </w:rPr>
        <w:t>What can I expect when I have a scan?</w:t>
      </w:r>
    </w:p>
    <w:p w:rsidR="00DF6AEA" w:rsidRDefault="00DF6AEA" w:rsidP="00E13FB9">
      <w:pPr>
        <w:pStyle w:val="NormalWeb"/>
        <w:jc w:val="both"/>
        <w:rPr>
          <w:rFonts w:ascii="Arial" w:hAnsi="Arial" w:cs="Arial"/>
          <w:sz w:val="20"/>
          <w:szCs w:val="20"/>
        </w:rPr>
      </w:pPr>
      <w:r>
        <w:rPr>
          <w:rFonts w:ascii="Arial" w:hAnsi="Arial" w:cs="Arial"/>
          <w:sz w:val="20"/>
          <w:szCs w:val="20"/>
        </w:rPr>
        <w:t>When you undergo a scan, a radiopharmaceutical will be given, either by injection into a vein, by mouth or through a breathing device. The radiopharmaceutical will concentrate in the particular part of your body under investigation.</w:t>
      </w:r>
    </w:p>
    <w:p w:rsidR="00DF6AEA" w:rsidRDefault="00DF6AEA" w:rsidP="00E13FB9">
      <w:pPr>
        <w:pStyle w:val="NormalWeb"/>
        <w:jc w:val="both"/>
        <w:rPr>
          <w:rFonts w:ascii="Arial" w:hAnsi="Arial" w:cs="Arial"/>
          <w:sz w:val="20"/>
          <w:szCs w:val="20"/>
        </w:rPr>
      </w:pPr>
      <w:r>
        <w:rPr>
          <w:rFonts w:ascii="Arial" w:hAnsi="Arial" w:cs="Arial"/>
          <w:sz w:val="20"/>
          <w:szCs w:val="20"/>
        </w:rPr>
        <w:t>Sometimes you may have to wait for a few hours or even a day or two after the pharmaceutical has been administered for the scan to be done. This is because it may take a while for the pharmaceutical to lodge in the part of your body to be examined. As the radiopharmaceutical travels, it continuously gives off invisible radiation, known as gamma rays.</w:t>
      </w:r>
    </w:p>
    <w:p w:rsidR="00DF6AEA" w:rsidRDefault="00DF6AEA" w:rsidP="00E13FB9">
      <w:pPr>
        <w:pStyle w:val="NormalWeb"/>
        <w:jc w:val="both"/>
        <w:rPr>
          <w:rFonts w:ascii="Arial" w:hAnsi="Arial" w:cs="Arial"/>
          <w:sz w:val="20"/>
          <w:szCs w:val="20"/>
        </w:rPr>
      </w:pPr>
      <w:r>
        <w:rPr>
          <w:rFonts w:ascii="Arial" w:hAnsi="Arial" w:cs="Arial"/>
          <w:sz w:val="20"/>
          <w:szCs w:val="20"/>
        </w:rPr>
        <w:t xml:space="preserve">Using a special camera called a gamma camera, doctors can detect the location of the radiopharmaceutical in your body. During your scan, the camera will be positioned close to the part of your body being scanned. If you are claustrophobic, please notify the staff before the radiopharmaceutical is administered. </w:t>
      </w:r>
    </w:p>
    <w:p w:rsidR="00DF6AEA" w:rsidRDefault="00DF6AEA" w:rsidP="00E13FB9">
      <w:pPr>
        <w:pStyle w:val="NormalWeb"/>
        <w:jc w:val="both"/>
        <w:rPr>
          <w:rFonts w:ascii="Arial" w:hAnsi="Arial" w:cs="Arial"/>
          <w:sz w:val="20"/>
          <w:szCs w:val="20"/>
        </w:rPr>
      </w:pPr>
      <w:r>
        <w:rPr>
          <w:rFonts w:ascii="Arial" w:hAnsi="Arial" w:cs="Arial"/>
          <w:sz w:val="20"/>
          <w:szCs w:val="20"/>
        </w:rPr>
        <w:t xml:space="preserve">Computers enhance the camera images on a screen. Doctors will be able to tell if the part of your body being tested is functioning normally. A copy of the images will be available for your doctor. </w:t>
      </w:r>
    </w:p>
    <w:p w:rsidR="00DF6AEA" w:rsidRDefault="00DF6AEA" w:rsidP="00E13FB9">
      <w:pPr>
        <w:pStyle w:val="NormalWeb"/>
        <w:jc w:val="both"/>
        <w:rPr>
          <w:rFonts w:ascii="Arial" w:hAnsi="Arial" w:cs="Arial"/>
          <w:b/>
          <w:bCs/>
        </w:rPr>
      </w:pPr>
      <w:r>
        <w:rPr>
          <w:rFonts w:ascii="Arial" w:hAnsi="Arial" w:cs="Arial"/>
          <w:noProof/>
          <w:sz w:val="20"/>
          <w:szCs w:val="20"/>
        </w:rPr>
        <w:lastRenderedPageBreak/>
        <w:drawing>
          <wp:inline distT="0" distB="0" distL="0" distR="0">
            <wp:extent cx="2171700" cy="3067050"/>
            <wp:effectExtent l="19050" t="0" r="0" b="0"/>
            <wp:docPr id="8" name="Picture 248" descr="http://www.nuclearimaging.com.au/Documents/Imag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www.nuclearimaging.com.au/Documents/Image6.gif"/>
                    <pic:cNvPicPr>
                      <a:picLocks noChangeAspect="1" noChangeArrowheads="1"/>
                    </pic:cNvPicPr>
                  </pic:nvPicPr>
                  <pic:blipFill>
                    <a:blip r:embed="rId189"/>
                    <a:srcRect/>
                    <a:stretch>
                      <a:fillRect/>
                    </a:stretch>
                  </pic:blipFill>
                  <pic:spPr bwMode="auto">
                    <a:xfrm>
                      <a:off x="0" y="0"/>
                      <a:ext cx="2171700" cy="3067050"/>
                    </a:xfrm>
                    <a:prstGeom prst="rect">
                      <a:avLst/>
                    </a:prstGeom>
                    <a:noFill/>
                    <a:ln w="9525">
                      <a:noFill/>
                      <a:miter lim="800000"/>
                      <a:headEnd/>
                      <a:tailEnd/>
                    </a:ln>
                  </pic:spPr>
                </pic:pic>
              </a:graphicData>
            </a:graphic>
          </wp:inline>
        </w:drawing>
      </w:r>
    </w:p>
    <w:p w:rsidR="00DF6AEA" w:rsidRDefault="00DF6AEA" w:rsidP="00E13FB9">
      <w:pPr>
        <w:pStyle w:val="NormalWeb"/>
        <w:jc w:val="both"/>
        <w:rPr>
          <w:rFonts w:ascii="Arial" w:hAnsi="Arial" w:cs="Arial"/>
          <w:sz w:val="20"/>
          <w:szCs w:val="20"/>
        </w:rPr>
      </w:pPr>
      <w:r>
        <w:rPr>
          <w:rFonts w:ascii="Arial" w:hAnsi="Arial" w:cs="Arial"/>
          <w:b/>
          <w:bCs/>
        </w:rPr>
        <w:t>Will it hurt?</w:t>
      </w:r>
    </w:p>
    <w:p w:rsidR="00DF6AEA" w:rsidRDefault="00DF6AEA" w:rsidP="00E13FB9">
      <w:pPr>
        <w:pStyle w:val="NormalWeb"/>
        <w:jc w:val="both"/>
        <w:rPr>
          <w:rFonts w:ascii="Arial" w:hAnsi="Arial" w:cs="Arial"/>
          <w:b/>
          <w:bCs/>
        </w:rPr>
      </w:pPr>
      <w:r>
        <w:rPr>
          <w:rFonts w:ascii="Arial" w:hAnsi="Arial" w:cs="Arial"/>
          <w:sz w:val="20"/>
          <w:szCs w:val="20"/>
        </w:rPr>
        <w:t>A scan involves nothing more painful than an injection into a vein, rather like the one you’d have for a blood test.</w:t>
      </w:r>
    </w:p>
    <w:p w:rsidR="00DF6AEA" w:rsidRDefault="00DF6AEA" w:rsidP="00E13FB9">
      <w:pPr>
        <w:pStyle w:val="NormalWeb"/>
        <w:jc w:val="both"/>
        <w:rPr>
          <w:rFonts w:ascii="Arial" w:hAnsi="Arial" w:cs="Arial"/>
          <w:sz w:val="20"/>
          <w:szCs w:val="20"/>
        </w:rPr>
      </w:pPr>
      <w:r>
        <w:rPr>
          <w:rFonts w:ascii="Arial" w:hAnsi="Arial" w:cs="Arial"/>
          <w:b/>
          <w:bCs/>
        </w:rPr>
        <w:t>Will I have to stay in hospital?</w:t>
      </w:r>
    </w:p>
    <w:p w:rsidR="00DF6AEA" w:rsidRDefault="00DF6AEA" w:rsidP="00E13FB9">
      <w:pPr>
        <w:pStyle w:val="NormalWeb"/>
        <w:jc w:val="both"/>
        <w:rPr>
          <w:rFonts w:ascii="Arial" w:hAnsi="Arial" w:cs="Arial"/>
          <w:sz w:val="20"/>
          <w:szCs w:val="20"/>
        </w:rPr>
      </w:pPr>
      <w:r>
        <w:rPr>
          <w:rFonts w:ascii="Arial" w:hAnsi="Arial" w:cs="Arial"/>
          <w:sz w:val="20"/>
          <w:szCs w:val="20"/>
        </w:rPr>
        <w:t>Patients having a diagnostic scan will often be asked to stay only a few hours in the nuclear medicine department, although in some cases patients are asked to return for a number of visits or to stay in hospital for a short period.</w:t>
      </w:r>
    </w:p>
    <w:p w:rsidR="00DF6AEA" w:rsidRDefault="00DF6AEA" w:rsidP="00E13FB9">
      <w:pPr>
        <w:pStyle w:val="NormalWeb"/>
        <w:jc w:val="both"/>
        <w:rPr>
          <w:rFonts w:ascii="Arial" w:hAnsi="Arial" w:cs="Arial"/>
          <w:b/>
          <w:bCs/>
        </w:rPr>
      </w:pPr>
      <w:r>
        <w:rPr>
          <w:rFonts w:ascii="Arial" w:hAnsi="Arial" w:cs="Arial"/>
          <w:sz w:val="20"/>
          <w:szCs w:val="20"/>
        </w:rPr>
        <w:t>If you are undergoing therapy, particularly for an overactive thyroid gland, you will probably be treated as an outpatient and won’t need to stay in hospital. If you do stay, then you will usually only be in hospital for two or three days. This is not because of any risk to your health but because doctors want to ensure that the remnants of the radiopharmaceuticals are dealt with safely when they are excreted from your body.</w:t>
      </w:r>
    </w:p>
    <w:p w:rsidR="00DF6AEA" w:rsidRDefault="00DF6AEA" w:rsidP="00E13FB9">
      <w:pPr>
        <w:pStyle w:val="NormalWeb"/>
        <w:jc w:val="both"/>
        <w:rPr>
          <w:rFonts w:ascii="Arial" w:hAnsi="Arial" w:cs="Arial"/>
          <w:b/>
          <w:bCs/>
        </w:rPr>
      </w:pPr>
      <w:r>
        <w:rPr>
          <w:rFonts w:ascii="Arial" w:hAnsi="Arial" w:cs="Arial"/>
          <w:b/>
          <w:bCs/>
        </w:rPr>
        <w:t> </w:t>
      </w:r>
    </w:p>
    <w:p w:rsidR="00DF6AEA" w:rsidRDefault="00DF6AEA" w:rsidP="00E13FB9">
      <w:pPr>
        <w:pStyle w:val="NormalWeb"/>
        <w:jc w:val="both"/>
        <w:rPr>
          <w:rFonts w:ascii="Arial" w:hAnsi="Arial" w:cs="Arial"/>
          <w:sz w:val="20"/>
          <w:szCs w:val="20"/>
        </w:rPr>
      </w:pPr>
      <w:r>
        <w:rPr>
          <w:rFonts w:ascii="Arial" w:hAnsi="Arial" w:cs="Arial"/>
          <w:b/>
          <w:bCs/>
        </w:rPr>
        <w:t>What does nuclear medicine treatment involve?</w:t>
      </w:r>
    </w:p>
    <w:p w:rsidR="00DF6AEA" w:rsidRDefault="00DF6AEA" w:rsidP="00E13FB9">
      <w:pPr>
        <w:pStyle w:val="NormalWeb"/>
        <w:jc w:val="both"/>
        <w:rPr>
          <w:rFonts w:ascii="Arial" w:hAnsi="Arial" w:cs="Arial"/>
          <w:sz w:val="20"/>
          <w:szCs w:val="20"/>
        </w:rPr>
      </w:pPr>
      <w:r>
        <w:rPr>
          <w:rFonts w:ascii="Arial" w:hAnsi="Arial" w:cs="Arial"/>
          <w:sz w:val="20"/>
          <w:szCs w:val="20"/>
        </w:rPr>
        <w:t>By far the widest application of nuclear medicine is for diagnosis. However, there are a number of occasions when radioactive materials are used to treat certain conditions, particularly cancer. This is known as therapy.</w:t>
      </w:r>
    </w:p>
    <w:p w:rsidR="00DF6AEA" w:rsidRDefault="00DF6AEA" w:rsidP="00E13FB9">
      <w:pPr>
        <w:pStyle w:val="NormalWeb"/>
        <w:jc w:val="both"/>
        <w:rPr>
          <w:rFonts w:ascii="Arial" w:hAnsi="Arial" w:cs="Arial"/>
          <w:b/>
          <w:bCs/>
        </w:rPr>
      </w:pPr>
      <w:r>
        <w:rPr>
          <w:rFonts w:ascii="Arial" w:hAnsi="Arial" w:cs="Arial"/>
          <w:sz w:val="20"/>
          <w:szCs w:val="20"/>
        </w:rPr>
        <w:t>The most common conditions treated are overactive thyroid and thyroid cancer. Radiopharmaceuticals are also injected into the body, usually into the joints, to treat conditions such as arthritis. Newer treatments involve the intravenous injection of radiopharmaceuticals for the relief of pain from tumours that have spread to bone.</w:t>
      </w:r>
    </w:p>
    <w:p w:rsidR="00DF6AEA" w:rsidRDefault="00DF6AEA" w:rsidP="00E13FB9">
      <w:pPr>
        <w:pStyle w:val="NormalWeb"/>
        <w:jc w:val="both"/>
        <w:rPr>
          <w:rFonts w:ascii="Arial" w:hAnsi="Arial" w:cs="Arial"/>
          <w:sz w:val="20"/>
          <w:szCs w:val="20"/>
        </w:rPr>
      </w:pPr>
      <w:r>
        <w:rPr>
          <w:rFonts w:ascii="Arial" w:hAnsi="Arial" w:cs="Arial"/>
          <w:b/>
          <w:bCs/>
        </w:rPr>
        <w:t>Who carries out nuclear medicine procedures?</w:t>
      </w:r>
    </w:p>
    <w:p w:rsidR="00DF6AEA" w:rsidRDefault="00DF6AEA" w:rsidP="00E13FB9">
      <w:pPr>
        <w:pStyle w:val="NormalWeb"/>
        <w:jc w:val="both"/>
        <w:rPr>
          <w:rFonts w:ascii="Arial" w:hAnsi="Arial" w:cs="Arial"/>
          <w:sz w:val="20"/>
          <w:szCs w:val="20"/>
        </w:rPr>
      </w:pPr>
      <w:r>
        <w:rPr>
          <w:rFonts w:ascii="Arial" w:hAnsi="Arial" w:cs="Arial"/>
          <w:noProof/>
          <w:sz w:val="20"/>
          <w:szCs w:val="20"/>
        </w:rPr>
        <w:lastRenderedPageBreak/>
        <w:drawing>
          <wp:inline distT="0" distB="0" distL="0" distR="0">
            <wp:extent cx="1962150" cy="2428875"/>
            <wp:effectExtent l="19050" t="0" r="0" b="0"/>
            <wp:docPr id="9" name="Picture 249" descr="http://www.nuclearimaging.com.au/Documents/Imag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nuclearimaging.com.au/Documents/Image7.gif"/>
                    <pic:cNvPicPr>
                      <a:picLocks noChangeAspect="1" noChangeArrowheads="1"/>
                    </pic:cNvPicPr>
                  </pic:nvPicPr>
                  <pic:blipFill>
                    <a:blip r:embed="rId190"/>
                    <a:srcRect/>
                    <a:stretch>
                      <a:fillRect/>
                    </a:stretch>
                  </pic:blipFill>
                  <pic:spPr bwMode="auto">
                    <a:xfrm>
                      <a:off x="0" y="0"/>
                      <a:ext cx="1962150" cy="2428875"/>
                    </a:xfrm>
                    <a:prstGeom prst="rect">
                      <a:avLst/>
                    </a:prstGeom>
                    <a:noFill/>
                    <a:ln w="9525">
                      <a:noFill/>
                      <a:miter lim="800000"/>
                      <a:headEnd/>
                      <a:tailEnd/>
                    </a:ln>
                  </pic:spPr>
                </pic:pic>
              </a:graphicData>
            </a:graphic>
          </wp:inline>
        </w:drawing>
      </w:r>
      <w:r>
        <w:rPr>
          <w:rFonts w:ascii="Arial" w:hAnsi="Arial" w:cs="Arial"/>
          <w:sz w:val="20"/>
          <w:szCs w:val="20"/>
        </w:rPr>
        <w:t>If your doctor recommends you for a scan or nuclear medicine treatment, you will be placed in the care of a team of specially trained professionals. Physicians, technologists, nurses and pharmacists will ensure that you receive a high level of care and that your doctor is provided with accurate reports on your condition.</w:t>
      </w:r>
    </w:p>
    <w:p w:rsidR="00DF6AEA" w:rsidRDefault="00DF6AEA" w:rsidP="00E13FB9">
      <w:pPr>
        <w:pStyle w:val="NormalWeb"/>
        <w:jc w:val="both"/>
        <w:rPr>
          <w:rFonts w:ascii="Arial" w:hAnsi="Arial" w:cs="Arial"/>
          <w:b/>
          <w:bCs/>
        </w:rPr>
      </w:pPr>
      <w:r>
        <w:rPr>
          <w:rFonts w:ascii="Arial" w:hAnsi="Arial" w:cs="Arial"/>
          <w:b/>
          <w:bCs/>
        </w:rPr>
        <w:t> </w:t>
      </w:r>
    </w:p>
    <w:p w:rsidR="00DF6AEA" w:rsidRDefault="00DF6AEA" w:rsidP="00E13FB9">
      <w:pPr>
        <w:pStyle w:val="NormalWeb"/>
        <w:jc w:val="both"/>
        <w:rPr>
          <w:rFonts w:ascii="Arial" w:hAnsi="Arial" w:cs="Arial"/>
          <w:sz w:val="20"/>
          <w:szCs w:val="20"/>
        </w:rPr>
      </w:pPr>
      <w:r>
        <w:rPr>
          <w:rFonts w:ascii="Arial" w:hAnsi="Arial" w:cs="Arial"/>
          <w:b/>
          <w:bCs/>
        </w:rPr>
        <w:t>Are there any side effects?</w:t>
      </w:r>
    </w:p>
    <w:p w:rsidR="00DF6AEA" w:rsidRDefault="00DF6AEA" w:rsidP="00E13FB9">
      <w:pPr>
        <w:pStyle w:val="NormalWeb"/>
        <w:jc w:val="both"/>
        <w:rPr>
          <w:rFonts w:ascii="Arial" w:hAnsi="Arial" w:cs="Arial"/>
          <w:b/>
          <w:bCs/>
        </w:rPr>
      </w:pPr>
      <w:r>
        <w:rPr>
          <w:rFonts w:ascii="Arial" w:hAnsi="Arial" w:cs="Arial"/>
          <w:sz w:val="20"/>
          <w:szCs w:val="20"/>
        </w:rPr>
        <w:t>Side effects are extremely rare for diagnostic scans. When radiation or radiopharmaceuticals are used in therapy, there are sometimes minor side effects such as nausea or swelling in the salivary glands. To prevent the latter, patients are often advised to simply suck lollies.</w:t>
      </w:r>
    </w:p>
    <w:p w:rsidR="00DF6AEA" w:rsidRDefault="00DF6AEA" w:rsidP="00E13FB9">
      <w:pPr>
        <w:pStyle w:val="NormalWeb"/>
        <w:jc w:val="both"/>
        <w:rPr>
          <w:rFonts w:ascii="Arial" w:hAnsi="Arial" w:cs="Arial"/>
          <w:sz w:val="20"/>
          <w:szCs w:val="20"/>
        </w:rPr>
      </w:pPr>
      <w:r>
        <w:rPr>
          <w:rFonts w:ascii="Arial" w:hAnsi="Arial" w:cs="Arial"/>
          <w:b/>
          <w:bCs/>
        </w:rPr>
        <w:t>What happens after a scan or therapy?</w:t>
      </w:r>
    </w:p>
    <w:p w:rsidR="00DF6AEA" w:rsidRDefault="00DF6AEA" w:rsidP="00E13FB9">
      <w:pPr>
        <w:pStyle w:val="NormalWeb"/>
        <w:jc w:val="both"/>
        <w:rPr>
          <w:rFonts w:ascii="Arial" w:hAnsi="Arial" w:cs="Arial"/>
          <w:sz w:val="20"/>
          <w:szCs w:val="20"/>
        </w:rPr>
      </w:pPr>
      <w:r>
        <w:rPr>
          <w:rFonts w:ascii="Arial" w:hAnsi="Arial" w:cs="Arial"/>
          <w:sz w:val="20"/>
          <w:szCs w:val="20"/>
        </w:rPr>
        <w:t>The specially trained physicians will report on the scan’s appearance and send the results to your doctor to evaluate, together with those of any other tests you may have had. In the majority of cases, you will be able to continue your daily lifestyle as usual.</w:t>
      </w:r>
    </w:p>
    <w:p w:rsidR="00DF6AEA" w:rsidRDefault="00DF6AEA" w:rsidP="00E13FB9">
      <w:pPr>
        <w:jc w:val="both"/>
      </w:pPr>
      <w:r>
        <w:rPr>
          <w:rFonts w:ascii="Arial" w:hAnsi="Arial" w:cs="Arial"/>
          <w:noProof/>
          <w:sz w:val="20"/>
          <w:szCs w:val="20"/>
        </w:rPr>
        <w:drawing>
          <wp:inline distT="0" distB="0" distL="0" distR="0">
            <wp:extent cx="1819275" cy="1562100"/>
            <wp:effectExtent l="19050" t="0" r="9525" b="0"/>
            <wp:docPr id="12" name="Picture 250" descr="http://www.nuclearimaging.com.au/Documents/Image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www.nuclearimaging.com.au/Documents/Image8.gif"/>
                    <pic:cNvPicPr>
                      <a:picLocks noChangeAspect="1" noChangeArrowheads="1"/>
                    </pic:cNvPicPr>
                  </pic:nvPicPr>
                  <pic:blipFill>
                    <a:blip r:embed="rId191"/>
                    <a:srcRect/>
                    <a:stretch>
                      <a:fillRect/>
                    </a:stretch>
                  </pic:blipFill>
                  <pic:spPr bwMode="auto">
                    <a:xfrm>
                      <a:off x="0" y="0"/>
                      <a:ext cx="1819275" cy="1562100"/>
                    </a:xfrm>
                    <a:prstGeom prst="rect">
                      <a:avLst/>
                    </a:prstGeom>
                    <a:noFill/>
                    <a:ln w="9525">
                      <a:noFill/>
                      <a:miter lim="800000"/>
                      <a:headEnd/>
                      <a:tailEnd/>
                    </a:ln>
                  </pic:spPr>
                </pic:pic>
              </a:graphicData>
            </a:graphic>
          </wp:inline>
        </w:drawing>
      </w:r>
    </w:p>
    <w:p w:rsidR="00DF6AEA" w:rsidRDefault="00DF6AEA" w:rsidP="00E13FB9">
      <w:pPr>
        <w:jc w:val="both"/>
      </w:pPr>
      <w:r>
        <w:t>##</w:t>
      </w:r>
    </w:p>
    <w:p w:rsidR="00DF6AEA" w:rsidRPr="00DF6AEA" w:rsidRDefault="00DF6AEA" w:rsidP="00E13FB9">
      <w:pPr>
        <w:spacing w:after="0" w:line="240" w:lineRule="auto"/>
        <w:jc w:val="both"/>
        <w:rPr>
          <w:rFonts w:ascii="Times New Roman" w:eastAsia="Times New Roman" w:hAnsi="Times New Roman" w:cs="Times New Roman"/>
          <w:sz w:val="24"/>
          <w:szCs w:val="24"/>
        </w:rPr>
      </w:pPr>
      <w:r w:rsidRPr="00DF6AEA">
        <w:rPr>
          <w:rFonts w:ascii="Times New Roman" w:eastAsia="Times New Roman" w:hAnsi="Times New Roman" w:cs="Times New Roman"/>
          <w:sz w:val="24"/>
          <w:szCs w:val="24"/>
        </w:rPr>
        <w:t xml:space="preserve">I am curious about the effects of nuclear medicine. Are there any "bad" side effects that a person may suffer from having a nuclear medicine treatment? </w:t>
      </w:r>
    </w:p>
    <w:p w:rsidR="00DF6AEA" w:rsidRPr="00DF6AEA" w:rsidRDefault="00DF6AEA" w:rsidP="00E13FB9">
      <w:pPr>
        <w:spacing w:after="0" w:line="240" w:lineRule="auto"/>
        <w:jc w:val="both"/>
        <w:rPr>
          <w:rFonts w:ascii="Times New Roman" w:eastAsia="Times New Roman" w:hAnsi="Times New Roman" w:cs="Times New Roman"/>
          <w:sz w:val="24"/>
          <w:szCs w:val="24"/>
        </w:rPr>
      </w:pPr>
      <w:r w:rsidRPr="00DF6AEA">
        <w:rPr>
          <w:rFonts w:ascii="Times New Roman" w:eastAsia="Times New Roman" w:hAnsi="Times New Roman" w:cs="Times New Roman"/>
          <w:sz w:val="24"/>
          <w:szCs w:val="24"/>
        </w:rPr>
        <w:t>A</w:t>
      </w:r>
    </w:p>
    <w:p w:rsidR="00DF6AEA" w:rsidRPr="00DF6AEA" w:rsidRDefault="00DF6AEA" w:rsidP="00E13FB9">
      <w:pPr>
        <w:spacing w:before="100" w:beforeAutospacing="1" w:after="100" w:afterAutospacing="1" w:line="240" w:lineRule="auto"/>
        <w:jc w:val="both"/>
        <w:rPr>
          <w:rFonts w:ascii="Times New Roman" w:eastAsia="Times New Roman" w:hAnsi="Times New Roman" w:cs="Times New Roman"/>
          <w:sz w:val="24"/>
          <w:szCs w:val="24"/>
        </w:rPr>
      </w:pPr>
      <w:r w:rsidRPr="00DF6AEA">
        <w:rPr>
          <w:rFonts w:ascii="Times New Roman" w:eastAsia="Times New Roman" w:hAnsi="Times New Roman" w:cs="Times New Roman"/>
          <w:sz w:val="24"/>
          <w:szCs w:val="24"/>
        </w:rPr>
        <w:t xml:space="preserve">In nuclear medicine, 99.5% of the procedures are diagnostic and are not associated with significant adverse effects. There are theoretical possibilities of slight increases of cancer from the low levels of radiation, but these are only theoretical, and many in the field do not believe that there are any deleterious effects at low levels. In </w:t>
      </w:r>
      <w:r w:rsidRPr="00DF6AEA">
        <w:rPr>
          <w:rFonts w:ascii="Times New Roman" w:eastAsia="Times New Roman" w:hAnsi="Times New Roman" w:cs="Times New Roman"/>
          <w:sz w:val="24"/>
          <w:szCs w:val="24"/>
        </w:rPr>
        <w:lastRenderedPageBreak/>
        <w:t>addition, a significant body of literature supports claims of beneficial effects at low doses. So I would discount this as a "bad" side effect.</w:t>
      </w:r>
    </w:p>
    <w:p w:rsidR="00DF6AEA" w:rsidRPr="00DF6AEA" w:rsidRDefault="00DF6AEA" w:rsidP="00E13FB9">
      <w:pPr>
        <w:spacing w:before="100" w:beforeAutospacing="1" w:after="100" w:afterAutospacing="1" w:line="240" w:lineRule="auto"/>
        <w:jc w:val="both"/>
        <w:rPr>
          <w:rFonts w:ascii="Times New Roman" w:eastAsia="Times New Roman" w:hAnsi="Times New Roman" w:cs="Times New Roman"/>
          <w:sz w:val="24"/>
          <w:szCs w:val="24"/>
        </w:rPr>
      </w:pPr>
      <w:r w:rsidRPr="00DF6AEA">
        <w:rPr>
          <w:rFonts w:ascii="Times New Roman" w:eastAsia="Times New Roman" w:hAnsi="Times New Roman" w:cs="Times New Roman"/>
          <w:sz w:val="24"/>
          <w:szCs w:val="24"/>
        </w:rPr>
        <w:t>Therapeutic doses of Metastron and Quadramet for treating bone metastases from existing cancer can cause temporary bone marrow depression which reverts to the baseline, or nearly the baseline, levels in a matter of weeks or a couple of months. These effects are not noticed by the patient. In terminally ill patients the effects can be somewhat more severe, as their bone marrow contains significant quantities of tumors that have replaced marrow. These patients will shortly die of their underlying disease.</w:t>
      </w:r>
    </w:p>
    <w:p w:rsidR="00DF6AEA" w:rsidRPr="00DF6AEA" w:rsidRDefault="00DF6AEA" w:rsidP="00E13FB9">
      <w:pPr>
        <w:spacing w:before="100" w:beforeAutospacing="1" w:after="100" w:afterAutospacing="1" w:line="240" w:lineRule="auto"/>
        <w:jc w:val="both"/>
        <w:rPr>
          <w:rFonts w:ascii="Times New Roman" w:eastAsia="Times New Roman" w:hAnsi="Times New Roman" w:cs="Times New Roman"/>
          <w:sz w:val="24"/>
          <w:szCs w:val="24"/>
        </w:rPr>
      </w:pPr>
      <w:r w:rsidRPr="00DF6AEA">
        <w:rPr>
          <w:rFonts w:ascii="Times New Roman" w:eastAsia="Times New Roman" w:hAnsi="Times New Roman" w:cs="Times New Roman"/>
          <w:sz w:val="24"/>
          <w:szCs w:val="24"/>
        </w:rPr>
        <w:t xml:space="preserve">Doses of I-131 sodium iodide for hyperthyroidism are too low to cause any "bad" side effects. Doses on the order of 10 times higher, for the treatment of thyroid cancer, can cause bone marrow depression in patients with poor kidney function. Such patients need dialysis if they are treated. There may be some temporary effects on spermatogenesis at high doses. Common adverse effects characteristic of chemotherapy agents, such as loss of hair and nausea, vomiting, and diarrhea, do </w:t>
      </w:r>
      <w:r w:rsidRPr="00DF6AEA">
        <w:rPr>
          <w:rFonts w:ascii="Times New Roman" w:eastAsia="Times New Roman" w:hAnsi="Times New Roman" w:cs="Times New Roman"/>
          <w:b/>
          <w:bCs/>
          <w:sz w:val="24"/>
          <w:szCs w:val="24"/>
        </w:rPr>
        <w:t>not</w:t>
      </w:r>
      <w:r w:rsidRPr="00DF6AEA">
        <w:rPr>
          <w:rFonts w:ascii="Times New Roman" w:eastAsia="Times New Roman" w:hAnsi="Times New Roman" w:cs="Times New Roman"/>
          <w:sz w:val="24"/>
          <w:szCs w:val="24"/>
        </w:rPr>
        <w:t xml:space="preserve"> occur with I-131. There may be an episode of nausea and/or vomiting a few hours after a large dose of I-131 sodium iodide due to stomach irritation. If it happens at all, it is usually only a single event, and can be avoided by the use of common antiemetics such as compazine.</w:t>
      </w:r>
    </w:p>
    <w:p w:rsidR="00DF6AEA" w:rsidRPr="00DF6AEA" w:rsidRDefault="00DF6AEA" w:rsidP="00E13FB9">
      <w:pPr>
        <w:spacing w:before="100" w:beforeAutospacing="1" w:after="100" w:afterAutospacing="1" w:line="240" w:lineRule="auto"/>
        <w:jc w:val="both"/>
        <w:rPr>
          <w:rFonts w:ascii="Times New Roman" w:eastAsia="Times New Roman" w:hAnsi="Times New Roman" w:cs="Times New Roman"/>
          <w:sz w:val="24"/>
          <w:szCs w:val="24"/>
        </w:rPr>
      </w:pPr>
      <w:r w:rsidRPr="00DF6AEA">
        <w:rPr>
          <w:rFonts w:ascii="Times New Roman" w:eastAsia="Times New Roman" w:hAnsi="Times New Roman" w:cs="Times New Roman"/>
          <w:sz w:val="24"/>
          <w:szCs w:val="24"/>
        </w:rPr>
        <w:t>Y-90-Zevalin and I-131-Bexxar, which are used to treat nonHodgkin's lymphoma, can cause considerable bone marrow depression requiring treatment, and there have been bleeding episodes, infections, and a few deaths. However, these are in patients who have received multiple regimens of chemotherapy for their cancer, and their bone marrow is vulnerable to begin with. These patients are generally followed closely by medical oncologists who treat any side effects that may occur.</w:t>
      </w:r>
    </w:p>
    <w:p w:rsidR="00DF6AEA" w:rsidRPr="00DF6AEA" w:rsidRDefault="00DF6AEA" w:rsidP="00E13FB9">
      <w:pPr>
        <w:pBdr>
          <w:bottom w:val="thinThickThinMediumGap" w:sz="18" w:space="1" w:color="auto"/>
        </w:pBdr>
        <w:spacing w:before="100" w:beforeAutospacing="1" w:after="100" w:afterAutospacing="1" w:line="240" w:lineRule="auto"/>
        <w:jc w:val="both"/>
        <w:rPr>
          <w:rFonts w:ascii="Times New Roman" w:eastAsia="Times New Roman" w:hAnsi="Times New Roman" w:cs="Times New Roman"/>
          <w:sz w:val="24"/>
          <w:szCs w:val="24"/>
        </w:rPr>
      </w:pPr>
      <w:r w:rsidRPr="00DF6AEA">
        <w:rPr>
          <w:rFonts w:ascii="Times New Roman" w:eastAsia="Times New Roman" w:hAnsi="Times New Roman" w:cs="Times New Roman"/>
          <w:sz w:val="24"/>
          <w:szCs w:val="24"/>
        </w:rPr>
        <w:t>Carol S. Marcus, PhD, MD</w:t>
      </w:r>
      <w:r w:rsidRPr="00DF6AEA">
        <w:rPr>
          <w:rFonts w:ascii="Times New Roman" w:eastAsia="Times New Roman" w:hAnsi="Times New Roman" w:cs="Times New Roman"/>
          <w:sz w:val="24"/>
          <w:szCs w:val="24"/>
        </w:rPr>
        <w:br/>
        <w:t>Professor of Radiation Oncology and of Radiological Sciences, UCLA, and</w:t>
      </w:r>
      <w:r w:rsidRPr="00DF6AEA">
        <w:rPr>
          <w:rFonts w:ascii="Times New Roman" w:eastAsia="Times New Roman" w:hAnsi="Times New Roman" w:cs="Times New Roman"/>
          <w:sz w:val="24"/>
          <w:szCs w:val="24"/>
        </w:rPr>
        <w:br/>
        <w:t>President, American College of Nuclear Physicians, California Chapter</w:t>
      </w:r>
    </w:p>
    <w:p w:rsidR="003B280C" w:rsidRDefault="003B280C" w:rsidP="00E13FB9">
      <w:pPr>
        <w:jc w:val="both"/>
      </w:pPr>
      <w:r>
        <w:rPr>
          <w:noProof/>
        </w:rPr>
        <w:lastRenderedPageBreak/>
        <w:drawing>
          <wp:inline distT="0" distB="0" distL="0" distR="0">
            <wp:extent cx="5943600" cy="7687405"/>
            <wp:effectExtent l="1905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92"/>
                    <a:srcRect/>
                    <a:stretch>
                      <a:fillRect/>
                    </a:stretch>
                  </pic:blipFill>
                  <pic:spPr bwMode="auto">
                    <a:xfrm>
                      <a:off x="0" y="0"/>
                      <a:ext cx="5943600" cy="7687405"/>
                    </a:xfrm>
                    <a:prstGeom prst="rect">
                      <a:avLst/>
                    </a:prstGeom>
                    <a:noFill/>
                    <a:ln w="9525">
                      <a:noFill/>
                      <a:miter lim="800000"/>
                      <a:headEnd/>
                      <a:tailEnd/>
                    </a:ln>
                  </pic:spPr>
                </pic:pic>
              </a:graphicData>
            </a:graphic>
          </wp:inline>
        </w:drawing>
      </w:r>
    </w:p>
    <w:p w:rsidR="00A4782E" w:rsidRDefault="00A4782E" w:rsidP="00E13FB9">
      <w:pPr>
        <w:jc w:val="both"/>
      </w:pPr>
    </w:p>
    <w:p w:rsidR="00A4782E" w:rsidRDefault="00A4782E" w:rsidP="00E13FB9">
      <w:pPr>
        <w:pStyle w:val="Heading1"/>
        <w:jc w:val="both"/>
        <w:rPr>
          <w:rFonts w:ascii="Verdana" w:hAnsi="Verdana"/>
        </w:rPr>
      </w:pPr>
      <w:bookmarkStart w:id="34" w:name="top"/>
      <w:bookmarkEnd w:id="34"/>
      <w:r>
        <w:rPr>
          <w:rFonts w:ascii="Verdana" w:hAnsi="Verdana"/>
        </w:rPr>
        <w:t>General Nuclear Medicine</w:t>
      </w:r>
    </w:p>
    <w:tbl>
      <w:tblPr>
        <w:tblW w:w="5000" w:type="pct"/>
        <w:tblCellSpacing w:w="15" w:type="dxa"/>
        <w:tblCellMar>
          <w:top w:w="60" w:type="dxa"/>
          <w:left w:w="60" w:type="dxa"/>
          <w:bottom w:w="60" w:type="dxa"/>
          <w:right w:w="60" w:type="dxa"/>
        </w:tblCellMar>
        <w:tblLook w:val="04A0"/>
      </w:tblPr>
      <w:tblGrid>
        <w:gridCol w:w="8865"/>
        <w:gridCol w:w="2115"/>
      </w:tblGrid>
      <w:tr w:rsidR="00A4782E" w:rsidTr="00A4782E">
        <w:trPr>
          <w:tblCellSpacing w:w="15" w:type="dxa"/>
        </w:trPr>
        <w:tc>
          <w:tcPr>
            <w:tcW w:w="5000" w:type="pct"/>
            <w:hideMark/>
          </w:tcPr>
          <w:p w:rsidR="00A4782E" w:rsidRDefault="000F5824" w:rsidP="00E13FB9">
            <w:pPr>
              <w:numPr>
                <w:ilvl w:val="0"/>
                <w:numId w:val="9"/>
              </w:numPr>
              <w:spacing w:before="100" w:beforeAutospacing="1" w:after="100" w:afterAutospacing="1" w:line="240" w:lineRule="atLeast"/>
              <w:jc w:val="both"/>
              <w:rPr>
                <w:rFonts w:ascii="Verdana" w:hAnsi="Verdana"/>
                <w:b/>
                <w:bCs/>
                <w:color w:val="FFA500"/>
                <w:sz w:val="20"/>
                <w:szCs w:val="20"/>
              </w:rPr>
            </w:pPr>
            <w:hyperlink r:id="rId193" w:anchor="part_one" w:history="1">
              <w:r w:rsidR="00A4782E">
                <w:rPr>
                  <w:rFonts w:ascii="Verdana" w:hAnsi="Verdana"/>
                  <w:b/>
                  <w:bCs/>
                  <w:color w:val="808080"/>
                  <w:sz w:val="20"/>
                  <w:szCs w:val="20"/>
                </w:rPr>
                <w:t>What is General Nuclear Medicine?</w:t>
              </w:r>
            </w:hyperlink>
            <w:r w:rsidR="00A4782E">
              <w:rPr>
                <w:rFonts w:ascii="Verdana" w:hAnsi="Verdana"/>
                <w:b/>
                <w:bCs/>
                <w:color w:val="FFA500"/>
                <w:sz w:val="20"/>
                <w:szCs w:val="20"/>
              </w:rPr>
              <w:t xml:space="preserve"> </w:t>
            </w:r>
          </w:p>
          <w:p w:rsidR="00A4782E" w:rsidRDefault="000F5824" w:rsidP="00E13FB9">
            <w:pPr>
              <w:numPr>
                <w:ilvl w:val="0"/>
                <w:numId w:val="9"/>
              </w:numPr>
              <w:spacing w:before="100" w:beforeAutospacing="1" w:after="100" w:afterAutospacing="1" w:line="240" w:lineRule="atLeast"/>
              <w:jc w:val="both"/>
              <w:rPr>
                <w:rFonts w:ascii="Verdana" w:hAnsi="Verdana"/>
                <w:b/>
                <w:bCs/>
                <w:color w:val="FFA500"/>
                <w:sz w:val="20"/>
                <w:szCs w:val="20"/>
              </w:rPr>
            </w:pPr>
            <w:hyperlink r:id="rId194" w:anchor="part_two" w:history="1">
              <w:r w:rsidR="00A4782E">
                <w:rPr>
                  <w:rFonts w:ascii="Verdana" w:hAnsi="Verdana"/>
                  <w:b/>
                  <w:bCs/>
                  <w:color w:val="808080"/>
                  <w:sz w:val="20"/>
                  <w:szCs w:val="20"/>
                </w:rPr>
                <w:t>What are some common uses of the procedure?</w:t>
              </w:r>
            </w:hyperlink>
            <w:r w:rsidR="00A4782E">
              <w:rPr>
                <w:rFonts w:ascii="Verdana" w:hAnsi="Verdana"/>
                <w:b/>
                <w:bCs/>
                <w:color w:val="FFA500"/>
                <w:sz w:val="20"/>
                <w:szCs w:val="20"/>
              </w:rPr>
              <w:t xml:space="preserve"> </w:t>
            </w:r>
          </w:p>
          <w:p w:rsidR="00A4782E" w:rsidRDefault="000F5824" w:rsidP="00E13FB9">
            <w:pPr>
              <w:numPr>
                <w:ilvl w:val="0"/>
                <w:numId w:val="9"/>
              </w:numPr>
              <w:spacing w:before="100" w:beforeAutospacing="1" w:after="100" w:afterAutospacing="1" w:line="240" w:lineRule="atLeast"/>
              <w:jc w:val="both"/>
              <w:rPr>
                <w:rFonts w:ascii="Verdana" w:hAnsi="Verdana"/>
                <w:b/>
                <w:bCs/>
                <w:color w:val="FFA500"/>
                <w:sz w:val="20"/>
                <w:szCs w:val="20"/>
              </w:rPr>
            </w:pPr>
            <w:hyperlink r:id="rId195" w:anchor="part_three" w:history="1">
              <w:r w:rsidR="00A4782E">
                <w:rPr>
                  <w:rFonts w:ascii="Verdana" w:hAnsi="Verdana"/>
                  <w:b/>
                  <w:bCs/>
                  <w:color w:val="808080"/>
                  <w:sz w:val="20"/>
                  <w:szCs w:val="20"/>
                </w:rPr>
                <w:t>How should I prepare?</w:t>
              </w:r>
            </w:hyperlink>
            <w:r w:rsidR="00A4782E">
              <w:rPr>
                <w:rFonts w:ascii="Verdana" w:hAnsi="Verdana"/>
                <w:b/>
                <w:bCs/>
                <w:color w:val="FFA500"/>
                <w:sz w:val="20"/>
                <w:szCs w:val="20"/>
              </w:rPr>
              <w:t xml:space="preserve"> </w:t>
            </w:r>
          </w:p>
          <w:p w:rsidR="00A4782E" w:rsidRDefault="000F5824" w:rsidP="00E13FB9">
            <w:pPr>
              <w:numPr>
                <w:ilvl w:val="0"/>
                <w:numId w:val="9"/>
              </w:numPr>
              <w:spacing w:before="100" w:beforeAutospacing="1" w:after="100" w:afterAutospacing="1" w:line="240" w:lineRule="atLeast"/>
              <w:jc w:val="both"/>
              <w:rPr>
                <w:rFonts w:ascii="Verdana" w:hAnsi="Verdana"/>
                <w:b/>
                <w:bCs/>
                <w:color w:val="FFA500"/>
                <w:sz w:val="20"/>
                <w:szCs w:val="20"/>
              </w:rPr>
            </w:pPr>
            <w:hyperlink r:id="rId196" w:anchor="part_four" w:history="1">
              <w:r w:rsidR="00A4782E">
                <w:rPr>
                  <w:rFonts w:ascii="Verdana" w:hAnsi="Verdana"/>
                  <w:b/>
                  <w:bCs/>
                  <w:color w:val="808080"/>
                  <w:sz w:val="20"/>
                  <w:szCs w:val="20"/>
                </w:rPr>
                <w:t>What does the equipment look like?</w:t>
              </w:r>
            </w:hyperlink>
            <w:r w:rsidR="00A4782E">
              <w:rPr>
                <w:rFonts w:ascii="Verdana" w:hAnsi="Verdana"/>
                <w:b/>
                <w:bCs/>
                <w:color w:val="FFA500"/>
                <w:sz w:val="20"/>
                <w:szCs w:val="20"/>
              </w:rPr>
              <w:t xml:space="preserve"> </w:t>
            </w:r>
          </w:p>
          <w:p w:rsidR="00A4782E" w:rsidRDefault="000F5824" w:rsidP="00E13FB9">
            <w:pPr>
              <w:numPr>
                <w:ilvl w:val="0"/>
                <w:numId w:val="9"/>
              </w:numPr>
              <w:spacing w:before="100" w:beforeAutospacing="1" w:after="100" w:afterAutospacing="1" w:line="240" w:lineRule="atLeast"/>
              <w:jc w:val="both"/>
              <w:rPr>
                <w:rFonts w:ascii="Verdana" w:hAnsi="Verdana"/>
                <w:b/>
                <w:bCs/>
                <w:color w:val="FFA500"/>
                <w:sz w:val="20"/>
                <w:szCs w:val="20"/>
              </w:rPr>
            </w:pPr>
            <w:hyperlink r:id="rId197" w:anchor="part_five" w:history="1">
              <w:r w:rsidR="00A4782E">
                <w:rPr>
                  <w:rFonts w:ascii="Verdana" w:hAnsi="Verdana"/>
                  <w:b/>
                  <w:bCs/>
                  <w:color w:val="808080"/>
                  <w:sz w:val="20"/>
                  <w:szCs w:val="20"/>
                </w:rPr>
                <w:t>How does the procedure work?</w:t>
              </w:r>
            </w:hyperlink>
            <w:r w:rsidR="00A4782E">
              <w:rPr>
                <w:rFonts w:ascii="Verdana" w:hAnsi="Verdana"/>
                <w:b/>
                <w:bCs/>
                <w:color w:val="FFA500"/>
                <w:sz w:val="20"/>
                <w:szCs w:val="20"/>
              </w:rPr>
              <w:t xml:space="preserve"> </w:t>
            </w:r>
          </w:p>
          <w:p w:rsidR="00A4782E" w:rsidRDefault="000F5824" w:rsidP="00E13FB9">
            <w:pPr>
              <w:numPr>
                <w:ilvl w:val="0"/>
                <w:numId w:val="9"/>
              </w:numPr>
              <w:spacing w:before="100" w:beforeAutospacing="1" w:after="100" w:afterAutospacing="1" w:line="240" w:lineRule="atLeast"/>
              <w:jc w:val="both"/>
              <w:rPr>
                <w:rFonts w:ascii="Verdana" w:hAnsi="Verdana"/>
                <w:b/>
                <w:bCs/>
                <w:color w:val="FFA500"/>
                <w:sz w:val="20"/>
                <w:szCs w:val="20"/>
              </w:rPr>
            </w:pPr>
            <w:hyperlink r:id="rId198" w:anchor="part_six" w:history="1">
              <w:r w:rsidR="00A4782E">
                <w:rPr>
                  <w:rFonts w:ascii="Verdana" w:hAnsi="Verdana"/>
                  <w:b/>
                  <w:bCs/>
                  <w:color w:val="808080"/>
                  <w:sz w:val="20"/>
                  <w:szCs w:val="20"/>
                </w:rPr>
                <w:t>How is the procedure performed?</w:t>
              </w:r>
            </w:hyperlink>
            <w:r w:rsidR="00A4782E">
              <w:rPr>
                <w:rFonts w:ascii="Verdana" w:hAnsi="Verdana"/>
                <w:b/>
                <w:bCs/>
                <w:color w:val="FFA500"/>
                <w:sz w:val="20"/>
                <w:szCs w:val="20"/>
              </w:rPr>
              <w:t xml:space="preserve"> </w:t>
            </w:r>
          </w:p>
          <w:p w:rsidR="00A4782E" w:rsidRDefault="000F5824" w:rsidP="00E13FB9">
            <w:pPr>
              <w:numPr>
                <w:ilvl w:val="0"/>
                <w:numId w:val="9"/>
              </w:numPr>
              <w:spacing w:before="100" w:beforeAutospacing="1" w:after="100" w:afterAutospacing="1" w:line="240" w:lineRule="atLeast"/>
              <w:jc w:val="both"/>
              <w:rPr>
                <w:rFonts w:ascii="Verdana" w:hAnsi="Verdana"/>
                <w:b/>
                <w:bCs/>
                <w:color w:val="FFA500"/>
                <w:sz w:val="20"/>
                <w:szCs w:val="20"/>
              </w:rPr>
            </w:pPr>
            <w:hyperlink r:id="rId199" w:anchor="part_seven" w:history="1">
              <w:r w:rsidR="00A4782E">
                <w:rPr>
                  <w:rFonts w:ascii="Verdana" w:hAnsi="Verdana"/>
                  <w:b/>
                  <w:bCs/>
                  <w:color w:val="808080"/>
                  <w:sz w:val="20"/>
                  <w:szCs w:val="20"/>
                </w:rPr>
                <w:t>What will I experience during and after procedure?</w:t>
              </w:r>
            </w:hyperlink>
            <w:r w:rsidR="00A4782E">
              <w:rPr>
                <w:rFonts w:ascii="Verdana" w:hAnsi="Verdana"/>
                <w:b/>
                <w:bCs/>
                <w:color w:val="FFA500"/>
                <w:sz w:val="20"/>
                <w:szCs w:val="20"/>
              </w:rPr>
              <w:t xml:space="preserve"> </w:t>
            </w:r>
          </w:p>
          <w:p w:rsidR="00A4782E" w:rsidRDefault="000F5824" w:rsidP="00E13FB9">
            <w:pPr>
              <w:numPr>
                <w:ilvl w:val="0"/>
                <w:numId w:val="9"/>
              </w:numPr>
              <w:spacing w:before="100" w:beforeAutospacing="1" w:after="100" w:afterAutospacing="1" w:line="240" w:lineRule="atLeast"/>
              <w:jc w:val="both"/>
              <w:rPr>
                <w:rFonts w:ascii="Verdana" w:hAnsi="Verdana"/>
                <w:b/>
                <w:bCs/>
                <w:color w:val="FFA500"/>
                <w:sz w:val="20"/>
                <w:szCs w:val="20"/>
              </w:rPr>
            </w:pPr>
            <w:hyperlink r:id="rId200" w:anchor="part_eight" w:history="1">
              <w:r w:rsidR="00A4782E">
                <w:rPr>
                  <w:rFonts w:ascii="Verdana" w:hAnsi="Verdana"/>
                  <w:b/>
                  <w:bCs/>
                  <w:color w:val="808080"/>
                  <w:sz w:val="20"/>
                  <w:szCs w:val="20"/>
                </w:rPr>
                <w:t>Who interprets the results and how do I get them?</w:t>
              </w:r>
            </w:hyperlink>
            <w:r w:rsidR="00A4782E">
              <w:rPr>
                <w:rFonts w:ascii="Verdana" w:hAnsi="Verdana"/>
                <w:b/>
                <w:bCs/>
                <w:color w:val="FFA500"/>
                <w:sz w:val="20"/>
                <w:szCs w:val="20"/>
              </w:rPr>
              <w:t xml:space="preserve"> </w:t>
            </w:r>
          </w:p>
          <w:p w:rsidR="00A4782E" w:rsidRDefault="000F5824" w:rsidP="00E13FB9">
            <w:pPr>
              <w:numPr>
                <w:ilvl w:val="0"/>
                <w:numId w:val="9"/>
              </w:numPr>
              <w:spacing w:before="100" w:beforeAutospacing="1" w:after="100" w:afterAutospacing="1" w:line="240" w:lineRule="atLeast"/>
              <w:jc w:val="both"/>
              <w:rPr>
                <w:rFonts w:ascii="Verdana" w:hAnsi="Verdana"/>
                <w:b/>
                <w:bCs/>
                <w:color w:val="FFA500"/>
                <w:sz w:val="20"/>
                <w:szCs w:val="20"/>
              </w:rPr>
            </w:pPr>
            <w:hyperlink r:id="rId201" w:anchor="part_nine" w:history="1">
              <w:r w:rsidR="00A4782E">
                <w:rPr>
                  <w:rFonts w:ascii="Verdana" w:hAnsi="Verdana"/>
                  <w:b/>
                  <w:bCs/>
                  <w:color w:val="808080"/>
                  <w:sz w:val="20"/>
                  <w:szCs w:val="20"/>
                </w:rPr>
                <w:t>What are the benefits vs. risks?</w:t>
              </w:r>
            </w:hyperlink>
            <w:r w:rsidR="00A4782E">
              <w:rPr>
                <w:rFonts w:ascii="Verdana" w:hAnsi="Verdana"/>
                <w:b/>
                <w:bCs/>
                <w:color w:val="FFA500"/>
                <w:sz w:val="20"/>
                <w:szCs w:val="20"/>
              </w:rPr>
              <w:t xml:space="preserve"> </w:t>
            </w:r>
          </w:p>
          <w:p w:rsidR="00A4782E" w:rsidRDefault="000F5824" w:rsidP="00E13FB9">
            <w:pPr>
              <w:numPr>
                <w:ilvl w:val="0"/>
                <w:numId w:val="9"/>
              </w:numPr>
              <w:spacing w:before="100" w:beforeAutospacing="1" w:after="100" w:afterAutospacing="1" w:line="240" w:lineRule="atLeast"/>
              <w:jc w:val="both"/>
              <w:rPr>
                <w:rFonts w:ascii="Verdana" w:hAnsi="Verdana"/>
                <w:b/>
                <w:bCs/>
                <w:color w:val="FFA500"/>
                <w:sz w:val="20"/>
                <w:szCs w:val="20"/>
              </w:rPr>
            </w:pPr>
            <w:hyperlink r:id="rId202" w:anchor="part_ten" w:history="1">
              <w:r w:rsidR="00A4782E">
                <w:rPr>
                  <w:rFonts w:ascii="Verdana" w:hAnsi="Verdana"/>
                  <w:b/>
                  <w:bCs/>
                  <w:color w:val="808080"/>
                  <w:sz w:val="20"/>
                  <w:szCs w:val="20"/>
                </w:rPr>
                <w:t>What are the limitations of General Nuclear Medicine?</w:t>
              </w:r>
            </w:hyperlink>
            <w:r w:rsidR="00A4782E">
              <w:rPr>
                <w:rFonts w:ascii="Verdana" w:hAnsi="Verdana"/>
                <w:b/>
                <w:bCs/>
                <w:color w:val="FFA500"/>
                <w:sz w:val="20"/>
                <w:szCs w:val="20"/>
              </w:rPr>
              <w:t xml:space="preserve"> </w:t>
            </w:r>
          </w:p>
        </w:tc>
        <w:tc>
          <w:tcPr>
            <w:tcW w:w="0" w:type="auto"/>
            <w:hideMark/>
          </w:tcPr>
          <w:p w:rsidR="00A4782E" w:rsidRDefault="00A4782E" w:rsidP="00E13FB9">
            <w:pPr>
              <w:pStyle w:val="leadimgtoptxt"/>
              <w:jc w:val="both"/>
              <w:rPr>
                <w:rFonts w:ascii="Verdana" w:hAnsi="Verdana"/>
              </w:rPr>
            </w:pPr>
            <w:r>
              <w:rPr>
                <w:rFonts w:ascii="Verdana" w:hAnsi="Verdana"/>
              </w:rPr>
              <w:t>Click image to view larger</w:t>
            </w:r>
          </w:p>
          <w:p w:rsidR="00A4782E" w:rsidRDefault="00A4782E" w:rsidP="00E13FB9">
            <w:pPr>
              <w:jc w:val="both"/>
              <w:rPr>
                <w:rFonts w:ascii="Verdana" w:hAnsi="Verdana"/>
                <w:sz w:val="24"/>
                <w:szCs w:val="24"/>
              </w:rPr>
            </w:pPr>
            <w:r>
              <w:rPr>
                <w:rFonts w:ascii="Verdana" w:hAnsi="Verdana"/>
                <w:noProof/>
                <w:color w:val="0000FF"/>
              </w:rPr>
              <w:drawing>
                <wp:inline distT="0" distB="0" distL="0" distR="0">
                  <wp:extent cx="1209675" cy="895350"/>
                  <wp:effectExtent l="19050" t="0" r="9525" b="0"/>
                  <wp:docPr id="57" name="Picture 3" descr="This is a typical camera used in general nuclear medicine studies. The cameras are positioned to obtain the best views for the particular study. Usually the cameras are placed close to the patient in order to get the highest quality possible.">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is a typical camera used in general nuclear medicine studies. The cameras are positioned to obtain the best views for the particular study. Usually the cameras are placed close to the patient in order to get the highest quality possible.">
                            <a:hlinkClick r:id="rId203"/>
                          </pic:cNvPr>
                          <pic:cNvPicPr>
                            <a:picLocks noChangeAspect="1" noChangeArrowheads="1"/>
                          </pic:cNvPicPr>
                        </pic:nvPicPr>
                        <pic:blipFill>
                          <a:blip r:embed="rId204"/>
                          <a:srcRect/>
                          <a:stretch>
                            <a:fillRect/>
                          </a:stretch>
                        </pic:blipFill>
                        <pic:spPr bwMode="auto">
                          <a:xfrm>
                            <a:off x="0" y="0"/>
                            <a:ext cx="1209675" cy="895350"/>
                          </a:xfrm>
                          <a:prstGeom prst="rect">
                            <a:avLst/>
                          </a:prstGeom>
                          <a:noFill/>
                          <a:ln w="9525">
                            <a:noFill/>
                            <a:miter lim="800000"/>
                            <a:headEnd/>
                            <a:tailEnd/>
                          </a:ln>
                        </pic:spPr>
                      </pic:pic>
                    </a:graphicData>
                  </a:graphic>
                </wp:inline>
              </w:drawing>
            </w:r>
          </w:p>
        </w:tc>
      </w:tr>
    </w:tbl>
    <w:p w:rsidR="00A4782E" w:rsidRDefault="00A4782E" w:rsidP="00E13FB9">
      <w:pPr>
        <w:pBdr>
          <w:top w:val="single" w:sz="6" w:space="21" w:color="005572"/>
        </w:pBdr>
        <w:spacing w:before="570"/>
        <w:jc w:val="both"/>
        <w:outlineLvl w:val="2"/>
        <w:rPr>
          <w:rFonts w:ascii="Verdana" w:hAnsi="Verdana"/>
          <w:b/>
          <w:bCs/>
          <w:color w:val="005572"/>
          <w:sz w:val="29"/>
          <w:szCs w:val="29"/>
        </w:rPr>
      </w:pPr>
      <w:bookmarkStart w:id="35" w:name="part_one"/>
      <w:bookmarkEnd w:id="35"/>
      <w:r>
        <w:rPr>
          <w:rFonts w:ascii="Verdana" w:hAnsi="Verdana"/>
          <w:b/>
          <w:bCs/>
          <w:color w:val="005572"/>
          <w:sz w:val="29"/>
          <w:szCs w:val="29"/>
        </w:rPr>
        <w:t>What is General Nuclear Medicine?</w:t>
      </w:r>
    </w:p>
    <w:p w:rsidR="00A4782E" w:rsidRDefault="00A4782E" w:rsidP="00E13FB9">
      <w:pPr>
        <w:pStyle w:val="NormalWeb"/>
        <w:jc w:val="both"/>
        <w:rPr>
          <w:rFonts w:ascii="Verdana" w:hAnsi="Verdana"/>
          <w:sz w:val="20"/>
          <w:szCs w:val="20"/>
        </w:rPr>
      </w:pPr>
      <w:r>
        <w:rPr>
          <w:rFonts w:ascii="Verdana" w:hAnsi="Verdana"/>
        </w:rPr>
        <w:t xml:space="preserve">Nuclear medicine is a branch of medical imaging that uses small amounts of </w:t>
      </w:r>
      <w:hyperlink r:id="rId205" w:history="1">
        <w:r>
          <w:rPr>
            <w:rStyle w:val="Hyperlink"/>
            <w:rFonts w:ascii="Verdana" w:hAnsi="Verdana"/>
          </w:rPr>
          <w:t>radioactive material</w:t>
        </w:r>
      </w:hyperlink>
      <w:r>
        <w:rPr>
          <w:rFonts w:ascii="Verdana" w:hAnsi="Verdana"/>
        </w:rPr>
        <w:t xml:space="preserve"> to diagnose or treat a variety of diseases, including many types of cancers, heart disease and certain other abnormalities within the body.</w:t>
      </w:r>
    </w:p>
    <w:p w:rsidR="00A4782E" w:rsidRDefault="00A4782E" w:rsidP="00E13FB9">
      <w:pPr>
        <w:pStyle w:val="NormalWeb"/>
        <w:jc w:val="both"/>
        <w:rPr>
          <w:rFonts w:ascii="Verdana" w:hAnsi="Verdana"/>
        </w:rPr>
      </w:pPr>
      <w:r>
        <w:rPr>
          <w:rFonts w:ascii="Verdana" w:hAnsi="Verdana"/>
        </w:rPr>
        <w:t xml:space="preserve">Nuclear medicine or radionuclide imaging procedures are noninvasive and usually painless medical tests that help physicians diagnose medical conditions. These imaging scans use radioactive materials called </w:t>
      </w:r>
      <w:hyperlink r:id="rId206" w:history="1">
        <w:r>
          <w:rPr>
            <w:rStyle w:val="Hyperlink"/>
            <w:rFonts w:ascii="Verdana" w:hAnsi="Verdana"/>
          </w:rPr>
          <w:t>radiopharmaceuticals</w:t>
        </w:r>
      </w:hyperlink>
      <w:r>
        <w:rPr>
          <w:rFonts w:ascii="Verdana" w:hAnsi="Verdana"/>
        </w:rPr>
        <w:t xml:space="preserve"> or </w:t>
      </w:r>
      <w:hyperlink r:id="rId207" w:history="1">
        <w:r>
          <w:rPr>
            <w:rStyle w:val="Hyperlink"/>
            <w:rFonts w:ascii="Verdana" w:hAnsi="Verdana"/>
          </w:rPr>
          <w:t>radiotracers</w:t>
        </w:r>
      </w:hyperlink>
      <w:r>
        <w:rPr>
          <w:rFonts w:ascii="Verdana" w:hAnsi="Verdana"/>
        </w:rPr>
        <w:t>.</w:t>
      </w:r>
    </w:p>
    <w:p w:rsidR="00A4782E" w:rsidRDefault="00A4782E" w:rsidP="00E13FB9">
      <w:pPr>
        <w:pStyle w:val="NormalWeb"/>
        <w:jc w:val="both"/>
        <w:rPr>
          <w:rFonts w:ascii="Verdana" w:hAnsi="Verdana"/>
        </w:rPr>
      </w:pPr>
      <w:r>
        <w:rPr>
          <w:rFonts w:ascii="Verdana" w:hAnsi="Verdana"/>
        </w:rPr>
        <w:t xml:space="preserve">Depending on the type of nuclear medicine exam you are undergoing, the radiotracer is either injected into a vein, swallowed or inhaled as a gas and eventually accumulates in the organ or area of your body being examined, where it gives off energy in the form of </w:t>
      </w:r>
      <w:hyperlink r:id="rId208" w:history="1">
        <w:r>
          <w:rPr>
            <w:rStyle w:val="Hyperlink"/>
            <w:rFonts w:ascii="Verdana" w:hAnsi="Verdana"/>
          </w:rPr>
          <w:t>gamma rays</w:t>
        </w:r>
      </w:hyperlink>
      <w:r>
        <w:rPr>
          <w:rFonts w:ascii="Verdana" w:hAnsi="Verdana"/>
        </w:rPr>
        <w:t xml:space="preserve">. This energy is detected by a device called a </w:t>
      </w:r>
      <w:hyperlink r:id="rId209" w:history="1">
        <w:r>
          <w:rPr>
            <w:rStyle w:val="Hyperlink"/>
            <w:rFonts w:ascii="Verdana" w:hAnsi="Verdana"/>
          </w:rPr>
          <w:t>gamma camera</w:t>
        </w:r>
      </w:hyperlink>
      <w:r>
        <w:rPr>
          <w:rFonts w:ascii="Verdana" w:hAnsi="Verdana"/>
        </w:rPr>
        <w:t>, a (</w:t>
      </w:r>
      <w:hyperlink r:id="rId210" w:history="1">
        <w:r>
          <w:rPr>
            <w:rStyle w:val="Hyperlink"/>
            <w:rFonts w:ascii="Verdana" w:hAnsi="Verdana"/>
          </w:rPr>
          <w:t>positron emission tomography</w:t>
        </w:r>
      </w:hyperlink>
      <w:r>
        <w:rPr>
          <w:rFonts w:ascii="Verdana" w:hAnsi="Verdana"/>
        </w:rPr>
        <w:t xml:space="preserve">) PET scanner and/or </w:t>
      </w:r>
      <w:hyperlink r:id="rId211" w:history="1">
        <w:r>
          <w:rPr>
            <w:rStyle w:val="Hyperlink"/>
            <w:rFonts w:ascii="Verdana" w:hAnsi="Verdana"/>
          </w:rPr>
          <w:t>probe</w:t>
        </w:r>
      </w:hyperlink>
      <w:r>
        <w:rPr>
          <w:rFonts w:ascii="Verdana" w:hAnsi="Verdana"/>
        </w:rPr>
        <w:t>. These devices work together with a computer to measure the amount of radiotracer absorbed by your body and to produce special pictures offering details on both the structure and function of organs and tissues.</w:t>
      </w:r>
    </w:p>
    <w:p w:rsidR="00A4782E" w:rsidRDefault="00A4782E" w:rsidP="00E13FB9">
      <w:pPr>
        <w:pStyle w:val="NormalWeb"/>
        <w:jc w:val="both"/>
        <w:rPr>
          <w:rFonts w:ascii="Verdana" w:hAnsi="Verdana"/>
        </w:rPr>
      </w:pPr>
      <w:r>
        <w:rPr>
          <w:rFonts w:ascii="Verdana" w:hAnsi="Verdana"/>
        </w:rPr>
        <w:t xml:space="preserve">In some centers, nuclear medicine images can be superimposed with </w:t>
      </w:r>
      <w:hyperlink r:id="rId212" w:history="1">
        <w:r>
          <w:rPr>
            <w:rStyle w:val="Hyperlink"/>
            <w:rFonts w:ascii="Verdana" w:hAnsi="Verdana"/>
          </w:rPr>
          <w:t>computed tomography</w:t>
        </w:r>
      </w:hyperlink>
      <w:r>
        <w:rPr>
          <w:rFonts w:ascii="Verdana" w:hAnsi="Verdana"/>
        </w:rPr>
        <w:t xml:space="preserve"> (CT) or </w:t>
      </w:r>
      <w:hyperlink r:id="rId213" w:history="1">
        <w:r>
          <w:rPr>
            <w:rStyle w:val="Hyperlink"/>
            <w:rFonts w:ascii="Verdana" w:hAnsi="Verdana"/>
          </w:rPr>
          <w:t>magnetic resonance imaging</w:t>
        </w:r>
      </w:hyperlink>
      <w:r>
        <w:rPr>
          <w:rFonts w:ascii="Verdana" w:hAnsi="Verdana"/>
        </w:rPr>
        <w:t xml:space="preserve"> (MRI) to produce special views, a practice known as image fusion or co-registration. These views allow the information from two different studies to be correlated and interpreted on one image, leading to more precise information and accurate diagnoses. In addition, manufacturers are now making PET/CT units that are able to perform both imaging studies at the same time.</w:t>
      </w:r>
    </w:p>
    <w:p w:rsidR="00A4782E" w:rsidRDefault="00A4782E" w:rsidP="00E13FB9">
      <w:pPr>
        <w:pStyle w:val="NormalWeb"/>
        <w:jc w:val="both"/>
        <w:rPr>
          <w:rFonts w:ascii="Verdana" w:hAnsi="Verdana"/>
        </w:rPr>
      </w:pPr>
      <w:r>
        <w:rPr>
          <w:rFonts w:ascii="Verdana" w:hAnsi="Verdana"/>
        </w:rPr>
        <w:t xml:space="preserve">Nuclear medicine also offers therapeutic procedures such as </w:t>
      </w:r>
      <w:hyperlink r:id="rId214" w:history="1">
        <w:r>
          <w:rPr>
            <w:rStyle w:val="Hyperlink"/>
            <w:rFonts w:ascii="Verdana" w:hAnsi="Verdana"/>
          </w:rPr>
          <w:t>radioactive iodine (I-131) therapy</w:t>
        </w:r>
      </w:hyperlink>
      <w:r>
        <w:rPr>
          <w:rFonts w:ascii="Verdana" w:hAnsi="Verdana"/>
        </w:rPr>
        <w:t xml:space="preserve"> that uses </w:t>
      </w:r>
      <w:hyperlink r:id="rId215" w:history="1">
        <w:r>
          <w:rPr>
            <w:rStyle w:val="Hyperlink"/>
            <w:rFonts w:ascii="Verdana" w:hAnsi="Verdana"/>
          </w:rPr>
          <w:t>radioactive</w:t>
        </w:r>
      </w:hyperlink>
      <w:r>
        <w:rPr>
          <w:rFonts w:ascii="Verdana" w:hAnsi="Verdana"/>
        </w:rPr>
        <w:t xml:space="preserve"> material to treat </w:t>
      </w:r>
      <w:hyperlink r:id="rId216" w:history="1">
        <w:r>
          <w:rPr>
            <w:rStyle w:val="Hyperlink"/>
            <w:rFonts w:ascii="Verdana" w:hAnsi="Verdana"/>
          </w:rPr>
          <w:t>cancer</w:t>
        </w:r>
      </w:hyperlink>
      <w:r>
        <w:rPr>
          <w:rFonts w:ascii="Verdana" w:hAnsi="Verdana"/>
        </w:rPr>
        <w:t xml:space="preserve"> and other medical conditions affecting the </w:t>
      </w:r>
      <w:hyperlink r:id="rId217" w:history="1">
        <w:r>
          <w:rPr>
            <w:rStyle w:val="Hyperlink"/>
            <w:rFonts w:ascii="Verdana" w:hAnsi="Verdana"/>
          </w:rPr>
          <w:t>thyroid</w:t>
        </w:r>
      </w:hyperlink>
      <w:r>
        <w:rPr>
          <w:rFonts w:ascii="Verdana" w:hAnsi="Verdana"/>
        </w:rPr>
        <w:t xml:space="preserve"> gland.</w:t>
      </w:r>
    </w:p>
    <w:p w:rsidR="00A4782E" w:rsidRDefault="00A4782E" w:rsidP="00E13FB9">
      <w:pPr>
        <w:pStyle w:val="Heading2"/>
        <w:jc w:val="both"/>
        <w:rPr>
          <w:rFonts w:ascii="Verdana" w:hAnsi="Verdana"/>
        </w:rPr>
      </w:pPr>
      <w:bookmarkStart w:id="36" w:name="part_two"/>
      <w:bookmarkEnd w:id="36"/>
      <w:r>
        <w:rPr>
          <w:rFonts w:ascii="Verdana" w:hAnsi="Verdana"/>
        </w:rPr>
        <w:t>What are some common uses of the procedure?</w:t>
      </w:r>
    </w:p>
    <w:p w:rsidR="00A4782E" w:rsidRDefault="00A4782E" w:rsidP="00E13FB9">
      <w:pPr>
        <w:pStyle w:val="NormalWeb"/>
        <w:jc w:val="both"/>
        <w:rPr>
          <w:rFonts w:ascii="Verdana" w:hAnsi="Verdana"/>
        </w:rPr>
      </w:pPr>
      <w:r>
        <w:rPr>
          <w:rFonts w:ascii="Verdana" w:hAnsi="Verdana"/>
        </w:rPr>
        <w:t>Physicians use radionuclide imaging procedures to visualize the structure and function of an organ, tissue, bone or system of the body.</w:t>
      </w:r>
    </w:p>
    <w:p w:rsidR="00A4782E" w:rsidRDefault="00A4782E" w:rsidP="00E13FB9">
      <w:pPr>
        <w:pStyle w:val="listleader"/>
        <w:jc w:val="both"/>
        <w:rPr>
          <w:rFonts w:ascii="Verdana" w:hAnsi="Verdana"/>
        </w:rPr>
      </w:pPr>
      <w:r>
        <w:rPr>
          <w:rFonts w:ascii="Verdana" w:hAnsi="Verdana"/>
        </w:rPr>
        <w:lastRenderedPageBreak/>
        <w:t xml:space="preserve">Nuclear medicine imaging scans are performed to: </w:t>
      </w:r>
    </w:p>
    <w:p w:rsidR="00A4782E" w:rsidRDefault="00A4782E" w:rsidP="00E13FB9">
      <w:pPr>
        <w:numPr>
          <w:ilvl w:val="0"/>
          <w:numId w:val="10"/>
        </w:numPr>
        <w:spacing w:after="120" w:line="240" w:lineRule="auto"/>
        <w:jc w:val="both"/>
        <w:rPr>
          <w:rFonts w:ascii="Verdana" w:hAnsi="Verdana"/>
          <w:color w:val="000000"/>
          <w:sz w:val="20"/>
          <w:szCs w:val="20"/>
        </w:rPr>
      </w:pPr>
      <w:r>
        <w:rPr>
          <w:rFonts w:ascii="Verdana" w:hAnsi="Verdana"/>
          <w:color w:val="000000"/>
          <w:sz w:val="20"/>
          <w:szCs w:val="20"/>
        </w:rPr>
        <w:t xml:space="preserve">analyze kidney function </w:t>
      </w:r>
    </w:p>
    <w:p w:rsidR="00A4782E" w:rsidRDefault="00A4782E" w:rsidP="00E13FB9">
      <w:pPr>
        <w:numPr>
          <w:ilvl w:val="0"/>
          <w:numId w:val="10"/>
        </w:numPr>
        <w:spacing w:after="120" w:line="240" w:lineRule="auto"/>
        <w:jc w:val="both"/>
        <w:rPr>
          <w:rFonts w:ascii="Verdana" w:hAnsi="Verdana"/>
          <w:color w:val="000000"/>
          <w:sz w:val="20"/>
          <w:szCs w:val="20"/>
        </w:rPr>
      </w:pPr>
      <w:r>
        <w:rPr>
          <w:rFonts w:ascii="Verdana" w:hAnsi="Verdana"/>
          <w:color w:val="000000"/>
          <w:sz w:val="20"/>
          <w:szCs w:val="20"/>
        </w:rPr>
        <w:t xml:space="preserve">visualize heart blood flow and function (such as a </w:t>
      </w:r>
      <w:hyperlink r:id="rId218" w:history="1">
        <w:r>
          <w:rPr>
            <w:rStyle w:val="Hyperlink"/>
            <w:rFonts w:ascii="Verdana" w:hAnsi="Verdana"/>
            <w:sz w:val="20"/>
            <w:szCs w:val="20"/>
          </w:rPr>
          <w:t>myocardial perfusion scan</w:t>
        </w:r>
      </w:hyperlink>
      <w:r>
        <w:rPr>
          <w:rFonts w:ascii="Verdana" w:hAnsi="Verdana"/>
          <w:color w:val="000000"/>
          <w:sz w:val="20"/>
          <w:szCs w:val="20"/>
        </w:rPr>
        <w:t xml:space="preserve">) </w:t>
      </w:r>
    </w:p>
    <w:p w:rsidR="00A4782E" w:rsidRDefault="00A4782E" w:rsidP="00E13FB9">
      <w:pPr>
        <w:numPr>
          <w:ilvl w:val="0"/>
          <w:numId w:val="10"/>
        </w:numPr>
        <w:spacing w:after="120" w:line="240" w:lineRule="auto"/>
        <w:jc w:val="both"/>
        <w:rPr>
          <w:rFonts w:ascii="Verdana" w:hAnsi="Verdana"/>
          <w:color w:val="000000"/>
          <w:sz w:val="20"/>
          <w:szCs w:val="20"/>
        </w:rPr>
      </w:pPr>
      <w:r>
        <w:rPr>
          <w:rFonts w:ascii="Verdana" w:hAnsi="Verdana"/>
          <w:color w:val="000000"/>
          <w:sz w:val="20"/>
          <w:szCs w:val="20"/>
        </w:rPr>
        <w:t xml:space="preserve">scan lungs for respiratory and blood flow problems </w:t>
      </w:r>
    </w:p>
    <w:p w:rsidR="00A4782E" w:rsidRDefault="00A4782E" w:rsidP="00E13FB9">
      <w:pPr>
        <w:numPr>
          <w:ilvl w:val="0"/>
          <w:numId w:val="10"/>
        </w:numPr>
        <w:spacing w:after="120" w:line="240" w:lineRule="auto"/>
        <w:jc w:val="both"/>
        <w:rPr>
          <w:rFonts w:ascii="Verdana" w:hAnsi="Verdana"/>
          <w:color w:val="000000"/>
          <w:sz w:val="20"/>
          <w:szCs w:val="20"/>
        </w:rPr>
      </w:pPr>
      <w:r>
        <w:rPr>
          <w:rFonts w:ascii="Verdana" w:hAnsi="Verdana"/>
          <w:color w:val="000000"/>
          <w:sz w:val="20"/>
          <w:szCs w:val="20"/>
        </w:rPr>
        <w:t xml:space="preserve">identify inflammation in the gallbladder </w:t>
      </w:r>
    </w:p>
    <w:p w:rsidR="00A4782E" w:rsidRDefault="00A4782E" w:rsidP="00E13FB9">
      <w:pPr>
        <w:numPr>
          <w:ilvl w:val="0"/>
          <w:numId w:val="10"/>
        </w:numPr>
        <w:spacing w:after="120" w:line="240" w:lineRule="auto"/>
        <w:jc w:val="both"/>
        <w:rPr>
          <w:rFonts w:ascii="Verdana" w:hAnsi="Verdana"/>
          <w:color w:val="000000"/>
          <w:sz w:val="20"/>
          <w:szCs w:val="20"/>
        </w:rPr>
      </w:pPr>
      <w:r>
        <w:rPr>
          <w:rFonts w:ascii="Verdana" w:hAnsi="Verdana"/>
          <w:color w:val="000000"/>
          <w:sz w:val="20"/>
          <w:szCs w:val="20"/>
        </w:rPr>
        <w:t xml:space="preserve">evaluate bones for fractures, infection, arthritis and tumors </w:t>
      </w:r>
    </w:p>
    <w:p w:rsidR="00A4782E" w:rsidRDefault="00A4782E" w:rsidP="00E13FB9">
      <w:pPr>
        <w:numPr>
          <w:ilvl w:val="0"/>
          <w:numId w:val="10"/>
        </w:numPr>
        <w:spacing w:after="120" w:line="240" w:lineRule="auto"/>
        <w:jc w:val="both"/>
        <w:rPr>
          <w:rFonts w:ascii="Verdana" w:hAnsi="Verdana"/>
          <w:color w:val="000000"/>
          <w:sz w:val="20"/>
          <w:szCs w:val="20"/>
        </w:rPr>
      </w:pPr>
      <w:r>
        <w:rPr>
          <w:rFonts w:ascii="Verdana" w:hAnsi="Verdana"/>
          <w:color w:val="000000"/>
          <w:sz w:val="20"/>
          <w:szCs w:val="20"/>
        </w:rPr>
        <w:t xml:space="preserve">determine the presence or spread of cancer in various parts of the body </w:t>
      </w:r>
    </w:p>
    <w:p w:rsidR="00A4782E" w:rsidRDefault="00A4782E" w:rsidP="00E13FB9">
      <w:pPr>
        <w:numPr>
          <w:ilvl w:val="0"/>
          <w:numId w:val="10"/>
        </w:numPr>
        <w:spacing w:after="120" w:line="240" w:lineRule="auto"/>
        <w:jc w:val="both"/>
        <w:rPr>
          <w:rFonts w:ascii="Verdana" w:hAnsi="Verdana"/>
          <w:color w:val="000000"/>
          <w:sz w:val="20"/>
          <w:szCs w:val="20"/>
        </w:rPr>
      </w:pPr>
      <w:r>
        <w:rPr>
          <w:rFonts w:ascii="Verdana" w:hAnsi="Verdana"/>
          <w:color w:val="000000"/>
          <w:sz w:val="20"/>
          <w:szCs w:val="20"/>
        </w:rPr>
        <w:t xml:space="preserve">identify bleeding into the </w:t>
      </w:r>
      <w:hyperlink r:id="rId219" w:history="1">
        <w:r>
          <w:rPr>
            <w:rStyle w:val="Hyperlink"/>
            <w:rFonts w:ascii="Verdana" w:hAnsi="Verdana"/>
            <w:sz w:val="20"/>
            <w:szCs w:val="20"/>
          </w:rPr>
          <w:t>bowel</w:t>
        </w:r>
      </w:hyperlink>
      <w:r>
        <w:rPr>
          <w:rFonts w:ascii="Verdana" w:hAnsi="Verdana"/>
          <w:color w:val="000000"/>
          <w:sz w:val="20"/>
          <w:szCs w:val="20"/>
        </w:rPr>
        <w:t xml:space="preserve"> </w:t>
      </w:r>
    </w:p>
    <w:p w:rsidR="00A4782E" w:rsidRDefault="00A4782E" w:rsidP="00E13FB9">
      <w:pPr>
        <w:numPr>
          <w:ilvl w:val="0"/>
          <w:numId w:val="10"/>
        </w:numPr>
        <w:spacing w:after="120" w:line="240" w:lineRule="auto"/>
        <w:jc w:val="both"/>
        <w:rPr>
          <w:rFonts w:ascii="Verdana" w:hAnsi="Verdana"/>
          <w:color w:val="000000"/>
          <w:sz w:val="20"/>
          <w:szCs w:val="20"/>
        </w:rPr>
      </w:pPr>
      <w:r>
        <w:rPr>
          <w:rFonts w:ascii="Verdana" w:hAnsi="Verdana"/>
          <w:color w:val="000000"/>
          <w:sz w:val="20"/>
          <w:szCs w:val="20"/>
        </w:rPr>
        <w:t xml:space="preserve">locate the presence of infection </w:t>
      </w:r>
    </w:p>
    <w:p w:rsidR="00A4782E" w:rsidRDefault="00A4782E" w:rsidP="00E13FB9">
      <w:pPr>
        <w:numPr>
          <w:ilvl w:val="0"/>
          <w:numId w:val="10"/>
        </w:numPr>
        <w:spacing w:after="120" w:line="240" w:lineRule="auto"/>
        <w:jc w:val="both"/>
        <w:rPr>
          <w:rFonts w:ascii="Verdana" w:hAnsi="Verdana"/>
          <w:color w:val="000000"/>
          <w:sz w:val="20"/>
          <w:szCs w:val="20"/>
        </w:rPr>
      </w:pPr>
      <w:r>
        <w:rPr>
          <w:rFonts w:ascii="Verdana" w:hAnsi="Verdana"/>
          <w:color w:val="000000"/>
          <w:sz w:val="20"/>
          <w:szCs w:val="20"/>
        </w:rPr>
        <w:t xml:space="preserve">measure thyroid function to detect an overactive or underactive thyroid </w:t>
      </w:r>
    </w:p>
    <w:p w:rsidR="00A4782E" w:rsidRDefault="00A4782E" w:rsidP="00E13FB9">
      <w:pPr>
        <w:numPr>
          <w:ilvl w:val="0"/>
          <w:numId w:val="10"/>
        </w:numPr>
        <w:spacing w:after="120" w:line="240" w:lineRule="auto"/>
        <w:jc w:val="both"/>
        <w:rPr>
          <w:rFonts w:ascii="Verdana" w:hAnsi="Verdana"/>
          <w:color w:val="000000"/>
          <w:sz w:val="20"/>
          <w:szCs w:val="20"/>
        </w:rPr>
      </w:pPr>
      <w:r>
        <w:rPr>
          <w:rFonts w:ascii="Verdana" w:hAnsi="Verdana"/>
          <w:color w:val="000000"/>
          <w:sz w:val="20"/>
          <w:szCs w:val="20"/>
        </w:rPr>
        <w:t xml:space="preserve">investigate abnormalities in the brain, such as seizures, memory loss and abnormalities in blood flow </w:t>
      </w:r>
    </w:p>
    <w:p w:rsidR="00A4782E" w:rsidRDefault="00A4782E" w:rsidP="00E13FB9">
      <w:pPr>
        <w:numPr>
          <w:ilvl w:val="0"/>
          <w:numId w:val="10"/>
        </w:numPr>
        <w:spacing w:after="120" w:line="240" w:lineRule="auto"/>
        <w:jc w:val="both"/>
        <w:rPr>
          <w:rFonts w:ascii="Verdana" w:hAnsi="Verdana"/>
          <w:color w:val="000000"/>
          <w:sz w:val="20"/>
          <w:szCs w:val="20"/>
        </w:rPr>
      </w:pPr>
      <w:r>
        <w:rPr>
          <w:rFonts w:ascii="Verdana" w:hAnsi="Verdana"/>
          <w:color w:val="000000"/>
          <w:sz w:val="20"/>
          <w:szCs w:val="20"/>
        </w:rPr>
        <w:t xml:space="preserve">localize the lymph nodes before surgery in patients with breast cancer or melanoma </w:t>
      </w:r>
    </w:p>
    <w:p w:rsidR="00A4782E" w:rsidRDefault="00A4782E" w:rsidP="00E13FB9">
      <w:pPr>
        <w:pStyle w:val="listleader"/>
        <w:jc w:val="both"/>
        <w:rPr>
          <w:rFonts w:ascii="Verdana" w:hAnsi="Verdana"/>
        </w:rPr>
      </w:pPr>
      <w:r>
        <w:rPr>
          <w:rFonts w:ascii="Verdana" w:hAnsi="Verdana"/>
        </w:rPr>
        <w:t>Nuclear medicine therapies include:</w:t>
      </w:r>
    </w:p>
    <w:p w:rsidR="00A4782E" w:rsidRDefault="000F5824" w:rsidP="00E13FB9">
      <w:pPr>
        <w:numPr>
          <w:ilvl w:val="0"/>
          <w:numId w:val="11"/>
        </w:numPr>
        <w:spacing w:after="120" w:line="240" w:lineRule="auto"/>
        <w:jc w:val="both"/>
        <w:rPr>
          <w:rFonts w:ascii="Verdana" w:hAnsi="Verdana"/>
          <w:color w:val="000000"/>
          <w:sz w:val="20"/>
          <w:szCs w:val="20"/>
        </w:rPr>
      </w:pPr>
      <w:hyperlink r:id="rId220" w:history="1">
        <w:r w:rsidR="00A4782E">
          <w:rPr>
            <w:rStyle w:val="Hyperlink"/>
            <w:rFonts w:ascii="Verdana" w:hAnsi="Verdana"/>
            <w:sz w:val="20"/>
            <w:szCs w:val="20"/>
          </w:rPr>
          <w:t>Radioactive iodine</w:t>
        </w:r>
      </w:hyperlink>
      <w:r w:rsidR="00A4782E">
        <w:rPr>
          <w:rFonts w:ascii="Verdana" w:hAnsi="Verdana"/>
          <w:color w:val="000000"/>
          <w:sz w:val="20"/>
          <w:szCs w:val="20"/>
        </w:rPr>
        <w:t xml:space="preserve"> (I-131) therapy used to treat </w:t>
      </w:r>
      <w:hyperlink r:id="rId221" w:history="1">
        <w:r w:rsidR="00A4782E">
          <w:rPr>
            <w:rStyle w:val="Hyperlink"/>
            <w:rFonts w:ascii="Verdana" w:hAnsi="Verdana"/>
            <w:sz w:val="20"/>
            <w:szCs w:val="20"/>
          </w:rPr>
          <w:t>hyperthyroidism</w:t>
        </w:r>
      </w:hyperlink>
      <w:r w:rsidR="00A4782E">
        <w:rPr>
          <w:rFonts w:ascii="Verdana" w:hAnsi="Verdana"/>
          <w:color w:val="000000"/>
          <w:sz w:val="20"/>
          <w:szCs w:val="20"/>
        </w:rPr>
        <w:t xml:space="preserve"> (overactive thyroid gland, for example, </w:t>
      </w:r>
      <w:hyperlink r:id="rId222" w:history="1">
        <w:r w:rsidR="00A4782E">
          <w:rPr>
            <w:rStyle w:val="Hyperlink"/>
            <w:rFonts w:ascii="Verdana" w:hAnsi="Verdana"/>
            <w:sz w:val="20"/>
            <w:szCs w:val="20"/>
          </w:rPr>
          <w:t>Graves' disease</w:t>
        </w:r>
      </w:hyperlink>
      <w:r w:rsidR="00A4782E">
        <w:rPr>
          <w:rFonts w:ascii="Verdana" w:hAnsi="Verdana"/>
          <w:color w:val="000000"/>
          <w:sz w:val="20"/>
          <w:szCs w:val="20"/>
        </w:rPr>
        <w:t xml:space="preserve">) and thyroid cancer </w:t>
      </w:r>
    </w:p>
    <w:p w:rsidR="00A4782E" w:rsidRDefault="00A4782E" w:rsidP="00E13FB9">
      <w:pPr>
        <w:numPr>
          <w:ilvl w:val="0"/>
          <w:numId w:val="11"/>
        </w:numPr>
        <w:spacing w:after="120" w:line="240" w:lineRule="auto"/>
        <w:jc w:val="both"/>
        <w:rPr>
          <w:rFonts w:ascii="Verdana" w:hAnsi="Verdana"/>
          <w:color w:val="000000"/>
          <w:sz w:val="20"/>
          <w:szCs w:val="20"/>
        </w:rPr>
      </w:pPr>
      <w:r>
        <w:rPr>
          <w:rFonts w:ascii="Verdana" w:hAnsi="Verdana"/>
          <w:color w:val="000000"/>
          <w:sz w:val="20"/>
          <w:szCs w:val="20"/>
        </w:rPr>
        <w:t xml:space="preserve">Radioactive </w:t>
      </w:r>
      <w:hyperlink r:id="rId223" w:history="1">
        <w:r>
          <w:rPr>
            <w:rStyle w:val="Hyperlink"/>
            <w:rFonts w:ascii="Verdana" w:hAnsi="Verdana"/>
            <w:sz w:val="20"/>
            <w:szCs w:val="20"/>
          </w:rPr>
          <w:t>antibodies</w:t>
        </w:r>
      </w:hyperlink>
      <w:r>
        <w:rPr>
          <w:rFonts w:ascii="Verdana" w:hAnsi="Verdana"/>
          <w:color w:val="000000"/>
          <w:sz w:val="20"/>
          <w:szCs w:val="20"/>
        </w:rPr>
        <w:t xml:space="preserve"> used to treat certain forms of lymphoma (cancer of the </w:t>
      </w:r>
      <w:hyperlink r:id="rId224" w:history="1">
        <w:r>
          <w:rPr>
            <w:rStyle w:val="Hyperlink"/>
            <w:rFonts w:ascii="Verdana" w:hAnsi="Verdana"/>
            <w:sz w:val="20"/>
            <w:szCs w:val="20"/>
          </w:rPr>
          <w:t>lymphatic system</w:t>
        </w:r>
      </w:hyperlink>
      <w:r>
        <w:rPr>
          <w:rFonts w:ascii="Verdana" w:hAnsi="Verdana"/>
          <w:color w:val="000000"/>
          <w:sz w:val="20"/>
          <w:szCs w:val="20"/>
        </w:rPr>
        <w:t xml:space="preserve">) </w:t>
      </w:r>
    </w:p>
    <w:p w:rsidR="00A4782E" w:rsidRDefault="00A4782E" w:rsidP="00E13FB9">
      <w:pPr>
        <w:numPr>
          <w:ilvl w:val="0"/>
          <w:numId w:val="11"/>
        </w:numPr>
        <w:spacing w:after="120" w:line="240" w:lineRule="auto"/>
        <w:jc w:val="both"/>
        <w:rPr>
          <w:rFonts w:ascii="Verdana" w:hAnsi="Verdana"/>
          <w:color w:val="000000"/>
          <w:sz w:val="20"/>
          <w:szCs w:val="20"/>
        </w:rPr>
      </w:pPr>
      <w:r>
        <w:rPr>
          <w:rFonts w:ascii="Verdana" w:hAnsi="Verdana"/>
          <w:color w:val="000000"/>
          <w:sz w:val="20"/>
          <w:szCs w:val="20"/>
        </w:rPr>
        <w:t xml:space="preserve">Radioactive phosphorus (P-32) used to treat certain blood disorders </w:t>
      </w:r>
    </w:p>
    <w:p w:rsidR="00A4782E" w:rsidRDefault="00A4782E" w:rsidP="00E13FB9">
      <w:pPr>
        <w:numPr>
          <w:ilvl w:val="0"/>
          <w:numId w:val="11"/>
        </w:numPr>
        <w:spacing w:after="120" w:line="240" w:lineRule="auto"/>
        <w:jc w:val="both"/>
        <w:rPr>
          <w:rFonts w:ascii="Verdana" w:hAnsi="Verdana"/>
          <w:color w:val="000000"/>
          <w:sz w:val="20"/>
          <w:szCs w:val="20"/>
        </w:rPr>
      </w:pPr>
      <w:r>
        <w:rPr>
          <w:rFonts w:ascii="Verdana" w:hAnsi="Verdana"/>
          <w:color w:val="000000"/>
          <w:sz w:val="20"/>
          <w:szCs w:val="20"/>
        </w:rPr>
        <w:t xml:space="preserve">Radioactive materials used to treat painful </w:t>
      </w:r>
      <w:hyperlink r:id="rId225" w:history="1">
        <w:r>
          <w:rPr>
            <w:rStyle w:val="Hyperlink"/>
            <w:rFonts w:ascii="Verdana" w:hAnsi="Verdana"/>
            <w:sz w:val="20"/>
            <w:szCs w:val="20"/>
          </w:rPr>
          <w:t>tumor</w:t>
        </w:r>
      </w:hyperlink>
      <w:r>
        <w:rPr>
          <w:rFonts w:ascii="Verdana" w:hAnsi="Verdana"/>
          <w:color w:val="000000"/>
          <w:sz w:val="20"/>
          <w:szCs w:val="20"/>
        </w:rPr>
        <w:t xml:space="preserve"> </w:t>
      </w:r>
      <w:hyperlink r:id="rId226" w:history="1">
        <w:r>
          <w:rPr>
            <w:rStyle w:val="Hyperlink"/>
            <w:rFonts w:ascii="Verdana" w:hAnsi="Verdana"/>
            <w:sz w:val="20"/>
            <w:szCs w:val="20"/>
          </w:rPr>
          <w:t>metastases</w:t>
        </w:r>
      </w:hyperlink>
      <w:r>
        <w:rPr>
          <w:rFonts w:ascii="Verdana" w:hAnsi="Verdana"/>
          <w:color w:val="000000"/>
          <w:sz w:val="20"/>
          <w:szCs w:val="20"/>
        </w:rPr>
        <w:t xml:space="preserve"> to the bones </w:t>
      </w:r>
    </w:p>
    <w:p w:rsidR="00A4782E" w:rsidRDefault="00A4782E" w:rsidP="00E13FB9">
      <w:pPr>
        <w:pStyle w:val="Heading2"/>
        <w:jc w:val="both"/>
        <w:rPr>
          <w:rFonts w:ascii="Verdana" w:hAnsi="Verdana"/>
          <w:color w:val="005572"/>
          <w:sz w:val="29"/>
          <w:szCs w:val="29"/>
        </w:rPr>
      </w:pPr>
      <w:bookmarkStart w:id="37" w:name="part_three"/>
      <w:bookmarkEnd w:id="37"/>
      <w:r>
        <w:rPr>
          <w:rFonts w:ascii="Verdana" w:hAnsi="Verdana"/>
        </w:rPr>
        <w:t>How should I prepare?</w:t>
      </w:r>
    </w:p>
    <w:p w:rsidR="00A4782E" w:rsidRDefault="00A4782E" w:rsidP="00E13FB9">
      <w:pPr>
        <w:pStyle w:val="NormalWeb"/>
        <w:jc w:val="both"/>
        <w:rPr>
          <w:rFonts w:ascii="Verdana" w:hAnsi="Verdana"/>
        </w:rPr>
      </w:pPr>
      <w:r>
        <w:rPr>
          <w:rFonts w:ascii="Verdana" w:hAnsi="Verdana"/>
        </w:rPr>
        <w:t xml:space="preserve">You may be asked to wear a gown during the exam or you may be allowed to wear your own clothing. </w:t>
      </w:r>
    </w:p>
    <w:p w:rsidR="00A4782E" w:rsidRDefault="00A4782E" w:rsidP="00E13FB9">
      <w:pPr>
        <w:pStyle w:val="NormalWeb"/>
        <w:jc w:val="both"/>
        <w:rPr>
          <w:rFonts w:ascii="Verdana" w:hAnsi="Verdana"/>
        </w:rPr>
      </w:pPr>
      <w:r>
        <w:rPr>
          <w:rFonts w:ascii="Verdana" w:hAnsi="Verdana"/>
        </w:rPr>
        <w:t xml:space="preserve">Women should always inform their physician or technologist if there is any possibility that they are pregnant or if they are breastfeeding their baby. See the </w:t>
      </w:r>
      <w:hyperlink r:id="rId227" w:anchor="6" w:history="1">
        <w:r>
          <w:rPr>
            <w:rStyle w:val="Hyperlink"/>
            <w:rFonts w:ascii="Verdana" w:hAnsi="Verdana"/>
            <w:i/>
            <w:iCs/>
          </w:rPr>
          <w:t>Safety page</w:t>
        </w:r>
      </w:hyperlink>
      <w:r>
        <w:rPr>
          <w:rFonts w:ascii="Verdana" w:hAnsi="Verdana"/>
        </w:rPr>
        <w:t xml:space="preserve"> for more information about pregnancy and breastfeeding related to nuclear medicine imaging.</w:t>
      </w:r>
    </w:p>
    <w:p w:rsidR="00A4782E" w:rsidRDefault="00A4782E" w:rsidP="00E13FB9">
      <w:pPr>
        <w:pStyle w:val="NormalWeb"/>
        <w:jc w:val="both"/>
        <w:rPr>
          <w:rFonts w:ascii="Verdana" w:hAnsi="Verdana"/>
        </w:rPr>
      </w:pPr>
      <w:r>
        <w:rPr>
          <w:rFonts w:ascii="Verdana" w:hAnsi="Verdana"/>
        </w:rPr>
        <w:t xml:space="preserve">You should inform your physician and the technologist performing your exam of any medications you are taking, including vitamins and herbal supplements. You should also inform them if you have any allergies and about recent illnesses or other medical conditions. </w:t>
      </w:r>
    </w:p>
    <w:p w:rsidR="00A4782E" w:rsidRDefault="00A4782E" w:rsidP="00E13FB9">
      <w:pPr>
        <w:pStyle w:val="NormalWeb"/>
        <w:jc w:val="both"/>
        <w:rPr>
          <w:rFonts w:ascii="Verdana" w:hAnsi="Verdana"/>
        </w:rPr>
      </w:pPr>
      <w:r>
        <w:rPr>
          <w:rFonts w:ascii="Verdana" w:hAnsi="Verdana"/>
        </w:rPr>
        <w:t>Jewelry and other metallic accessories should be left at home if possible, or removed prior to the exam because they may interfere with the procedure.</w:t>
      </w:r>
    </w:p>
    <w:p w:rsidR="00A4782E" w:rsidRDefault="00A4782E" w:rsidP="00E13FB9">
      <w:pPr>
        <w:pStyle w:val="NormalWeb"/>
        <w:jc w:val="both"/>
        <w:rPr>
          <w:rFonts w:ascii="Verdana" w:hAnsi="Verdana"/>
        </w:rPr>
      </w:pPr>
      <w:r>
        <w:rPr>
          <w:rFonts w:ascii="Verdana" w:hAnsi="Verdana"/>
        </w:rPr>
        <w:t>You will receive specific instructions based on the type of scan you are undergoing.</w:t>
      </w:r>
    </w:p>
    <w:p w:rsidR="00A4782E" w:rsidRDefault="00A4782E" w:rsidP="00E13FB9">
      <w:pPr>
        <w:pStyle w:val="NormalWeb"/>
        <w:jc w:val="both"/>
        <w:rPr>
          <w:rFonts w:ascii="Verdana" w:hAnsi="Verdana"/>
        </w:rPr>
      </w:pPr>
      <w:r>
        <w:rPr>
          <w:rFonts w:ascii="Verdana" w:hAnsi="Verdana"/>
        </w:rPr>
        <w:t xml:space="preserve">See the </w:t>
      </w:r>
      <w:hyperlink r:id="rId228" w:history="1">
        <w:r>
          <w:rPr>
            <w:rStyle w:val="Emphasis"/>
            <w:rFonts w:ascii="Verdana" w:hAnsi="Verdana"/>
            <w:color w:val="0000FF"/>
          </w:rPr>
          <w:t>Radioactive iodine (I-131) therapy page</w:t>
        </w:r>
      </w:hyperlink>
      <w:r>
        <w:rPr>
          <w:rFonts w:ascii="Verdana" w:hAnsi="Verdana"/>
        </w:rPr>
        <w:t xml:space="preserve"> for instructions on how to prepare for the procedure.</w:t>
      </w:r>
    </w:p>
    <w:p w:rsidR="00A4782E" w:rsidRDefault="00A4782E" w:rsidP="00E13FB9">
      <w:pPr>
        <w:pStyle w:val="Heading2"/>
        <w:jc w:val="both"/>
        <w:rPr>
          <w:rFonts w:ascii="Verdana" w:hAnsi="Verdana"/>
        </w:rPr>
      </w:pPr>
      <w:bookmarkStart w:id="38" w:name="part_four"/>
      <w:bookmarkEnd w:id="38"/>
      <w:r>
        <w:rPr>
          <w:rFonts w:ascii="Verdana" w:hAnsi="Verdana"/>
        </w:rPr>
        <w:lastRenderedPageBreak/>
        <w:t>What does the equipment look like?</w:t>
      </w:r>
    </w:p>
    <w:p w:rsidR="00A4782E" w:rsidRDefault="00A4782E" w:rsidP="00E13FB9">
      <w:pPr>
        <w:pStyle w:val="NormalWeb"/>
        <w:jc w:val="both"/>
        <w:rPr>
          <w:rFonts w:ascii="Verdana" w:hAnsi="Verdana"/>
        </w:rPr>
      </w:pPr>
      <w:r>
        <w:rPr>
          <w:rFonts w:ascii="Verdana" w:hAnsi="Verdana"/>
        </w:rPr>
        <w:t>Most nuclear medicine procedures are performed using a gamma camera, a specialized camera encased in metal that is capable of detecting radiation and taking pictures from different angles. It may be suspended over the examination table from a tall, moveable post or it may be part of a metal arm that hangs over the table, or it may rotate around your body. The camera could also be located within a large, doughnut-shaped scanner similar in appearance to a computed tomography (CT) scanner. In some imaging centers, the gamma camera is located beneath the exam table and out of view.</w:t>
      </w:r>
    </w:p>
    <w:p w:rsidR="00A4782E" w:rsidRDefault="00A4782E" w:rsidP="00E13FB9">
      <w:pPr>
        <w:pStyle w:val="NormalWeb"/>
        <w:jc w:val="both"/>
        <w:rPr>
          <w:rFonts w:ascii="Verdana" w:hAnsi="Verdana"/>
        </w:rPr>
      </w:pPr>
      <w:r>
        <w:rPr>
          <w:rFonts w:ascii="Verdana" w:hAnsi="Verdana"/>
        </w:rPr>
        <w:t xml:space="preserve">A positron emission tomography (PET) scanner is a large machine with a round, doughnut shaped hole in the middle, similar to a CT or MRI unit. Within this machine are multiple rings of detectors that record the emission of energy from the radiotracer in your body. </w:t>
      </w:r>
    </w:p>
    <w:p w:rsidR="00A4782E" w:rsidRDefault="00A4782E" w:rsidP="00E13FB9">
      <w:pPr>
        <w:pStyle w:val="NormalWeb"/>
        <w:jc w:val="both"/>
        <w:rPr>
          <w:rFonts w:ascii="Verdana" w:hAnsi="Verdana"/>
        </w:rPr>
      </w:pPr>
      <w:r>
        <w:rPr>
          <w:rFonts w:ascii="Verdana" w:hAnsi="Verdana"/>
        </w:rPr>
        <w:t>A computer aids in creating the images from the data obtained by the camera or scanner.</w:t>
      </w:r>
    </w:p>
    <w:p w:rsidR="00A4782E" w:rsidRDefault="00A4782E" w:rsidP="00E13FB9">
      <w:pPr>
        <w:pStyle w:val="NormalWeb"/>
        <w:jc w:val="both"/>
        <w:rPr>
          <w:rFonts w:ascii="Verdana" w:hAnsi="Verdana"/>
        </w:rPr>
      </w:pPr>
      <w:r>
        <w:rPr>
          <w:rFonts w:ascii="Verdana" w:hAnsi="Verdana"/>
        </w:rPr>
        <w:t>A probe is a small hand-held device resembling a microphone that can detect and measure the amount of the radiotracer in a small area of your body.</w:t>
      </w:r>
    </w:p>
    <w:p w:rsidR="00A4782E" w:rsidRDefault="00A4782E" w:rsidP="00E13FB9">
      <w:pPr>
        <w:pStyle w:val="NormalWeb"/>
        <w:jc w:val="both"/>
        <w:rPr>
          <w:rFonts w:ascii="Verdana" w:hAnsi="Verdana"/>
        </w:rPr>
      </w:pPr>
      <w:r>
        <w:rPr>
          <w:rFonts w:ascii="Verdana" w:hAnsi="Verdana"/>
        </w:rPr>
        <w:t>There is no specialized equipment used during radioactive iodine therapy, but the technologist or other personnel administering the treatment may cover your clothing and use lead containers to shield the radioactive material you will be receiving.</w:t>
      </w:r>
    </w:p>
    <w:p w:rsidR="00A4782E" w:rsidRDefault="00A4782E" w:rsidP="00E13FB9">
      <w:pPr>
        <w:pStyle w:val="Heading2"/>
        <w:jc w:val="both"/>
        <w:rPr>
          <w:rFonts w:ascii="Verdana" w:hAnsi="Verdana"/>
        </w:rPr>
      </w:pPr>
      <w:bookmarkStart w:id="39" w:name="part_five"/>
      <w:bookmarkEnd w:id="39"/>
      <w:r>
        <w:rPr>
          <w:rFonts w:ascii="Verdana" w:hAnsi="Verdana"/>
        </w:rPr>
        <w:t xml:space="preserve">How does the procedure work? </w:t>
      </w:r>
    </w:p>
    <w:p w:rsidR="00A4782E" w:rsidRDefault="00A4782E" w:rsidP="00E13FB9">
      <w:pPr>
        <w:pStyle w:val="NormalWeb"/>
        <w:jc w:val="both"/>
        <w:rPr>
          <w:rFonts w:ascii="Verdana" w:hAnsi="Verdana"/>
        </w:rPr>
      </w:pPr>
      <w:r>
        <w:rPr>
          <w:rFonts w:ascii="Verdana" w:hAnsi="Verdana"/>
        </w:rPr>
        <w:t xml:space="preserve">With ordinary </w:t>
      </w:r>
      <w:hyperlink r:id="rId229" w:history="1">
        <w:r>
          <w:rPr>
            <w:rStyle w:val="Hyperlink"/>
            <w:rFonts w:ascii="Verdana" w:hAnsi="Verdana"/>
          </w:rPr>
          <w:t>x-ray</w:t>
        </w:r>
      </w:hyperlink>
      <w:r>
        <w:rPr>
          <w:rFonts w:ascii="Verdana" w:hAnsi="Verdana"/>
        </w:rPr>
        <w:t xml:space="preserve"> examinations, an image is made by passing x-rays through your body from an outside source. In contrast, nuclear medicine procedures use a radioactive material called a radiopharmaceutical or radiotracer, which is injected into your bloodstream, swallowed or inhaled as a gas. This radioactive material accumulates in the organ or area of your body being examined, where it gives off a small amount of energy in the form of gamma rays. A gamma camera, PET scanner, or probe detects this energy and with the help of a computer creates pictures offering details on both the structure and function of organs and tissues in your body.</w:t>
      </w:r>
    </w:p>
    <w:p w:rsidR="00A4782E" w:rsidRDefault="00A4782E" w:rsidP="00E13FB9">
      <w:pPr>
        <w:pStyle w:val="NormalWeb"/>
        <w:jc w:val="both"/>
        <w:rPr>
          <w:rFonts w:ascii="Verdana" w:hAnsi="Verdana"/>
        </w:rPr>
      </w:pPr>
      <w:r>
        <w:rPr>
          <w:rFonts w:ascii="Verdana" w:hAnsi="Verdana"/>
        </w:rPr>
        <w:t>Unlike other imaging techniques, nuclear medicine imaging studies are less directed toward picturing anatomy and structure, and more concerned with depicting physiologic processes within the body, such as rates of metabolism or levels of various other chemical activity. Areas of greater intensity, called "hot spots", indicate where large amounts of the radiotracer have accumulated and where there is a high level of chemical activity. Less intense areas, or "cold spots", indicate a smaller concentration of radiotracer and less chemical activity.</w:t>
      </w:r>
    </w:p>
    <w:p w:rsidR="00A4782E" w:rsidRDefault="00A4782E" w:rsidP="00E13FB9">
      <w:pPr>
        <w:pStyle w:val="NormalWeb"/>
        <w:jc w:val="both"/>
        <w:rPr>
          <w:rFonts w:ascii="Verdana" w:hAnsi="Verdana"/>
        </w:rPr>
      </w:pPr>
      <w:r>
        <w:rPr>
          <w:rFonts w:ascii="Verdana" w:hAnsi="Verdana"/>
        </w:rPr>
        <w:t xml:space="preserve">In radioactive iodine (I-131) therapy, radioactive iodine (I-131) is swallowed, absorbed into the bloodstream in the </w:t>
      </w:r>
      <w:hyperlink r:id="rId230" w:history="1">
        <w:r>
          <w:rPr>
            <w:rStyle w:val="Hyperlink"/>
            <w:rFonts w:ascii="Verdana" w:hAnsi="Verdana"/>
          </w:rPr>
          <w:t>gastrointestinal</w:t>
        </w:r>
      </w:hyperlink>
      <w:r>
        <w:rPr>
          <w:rFonts w:ascii="Verdana" w:hAnsi="Verdana"/>
        </w:rPr>
        <w:t xml:space="preserve"> (GI) tract and concentrated from the blood by the thyroid gland where it destroys cells within that organ. </w:t>
      </w:r>
    </w:p>
    <w:p w:rsidR="00A4782E" w:rsidRDefault="00A4782E" w:rsidP="00E13FB9">
      <w:pPr>
        <w:pStyle w:val="Heading2"/>
        <w:jc w:val="both"/>
        <w:rPr>
          <w:rFonts w:ascii="Verdana" w:hAnsi="Verdana"/>
        </w:rPr>
      </w:pPr>
      <w:bookmarkStart w:id="40" w:name="part_six"/>
      <w:bookmarkEnd w:id="40"/>
      <w:r>
        <w:rPr>
          <w:rFonts w:ascii="Verdana" w:hAnsi="Verdana"/>
        </w:rPr>
        <w:lastRenderedPageBreak/>
        <w:t>How is the procedure performed?</w:t>
      </w:r>
    </w:p>
    <w:p w:rsidR="00A4782E" w:rsidRDefault="00A4782E" w:rsidP="00E13FB9">
      <w:pPr>
        <w:pStyle w:val="NormalWeb"/>
        <w:jc w:val="both"/>
        <w:rPr>
          <w:rFonts w:ascii="Verdana" w:hAnsi="Verdana"/>
        </w:rPr>
      </w:pPr>
      <w:r>
        <w:rPr>
          <w:rFonts w:ascii="Verdana" w:hAnsi="Verdana"/>
        </w:rPr>
        <w:t>Nuclear medicine imaging is usually performed on an outpatient basis, but is often performed on hospitalized patients as well.</w:t>
      </w:r>
    </w:p>
    <w:p w:rsidR="00A4782E" w:rsidRDefault="00A4782E" w:rsidP="00E13FB9">
      <w:pPr>
        <w:pStyle w:val="NormalWeb"/>
        <w:jc w:val="both"/>
        <w:rPr>
          <w:rFonts w:ascii="Verdana" w:hAnsi="Verdana"/>
        </w:rPr>
      </w:pPr>
      <w:r>
        <w:rPr>
          <w:rFonts w:ascii="Verdana" w:hAnsi="Verdana"/>
        </w:rPr>
        <w:t xml:space="preserve">You will be positioned on an examination table. If necessary, a nurse or technologist will insert an </w:t>
      </w:r>
      <w:hyperlink r:id="rId231" w:history="1">
        <w:r>
          <w:rPr>
            <w:rStyle w:val="Hyperlink"/>
            <w:rFonts w:ascii="Verdana" w:hAnsi="Verdana"/>
          </w:rPr>
          <w:t>intravenous (IV)</w:t>
        </w:r>
      </w:hyperlink>
      <w:r>
        <w:rPr>
          <w:rFonts w:ascii="Verdana" w:hAnsi="Verdana"/>
        </w:rPr>
        <w:t xml:space="preserve"> line into a vein in your hand or arm.</w:t>
      </w:r>
    </w:p>
    <w:p w:rsidR="00A4782E" w:rsidRDefault="00A4782E" w:rsidP="00E13FB9">
      <w:pPr>
        <w:pStyle w:val="NormalWeb"/>
        <w:jc w:val="both"/>
        <w:rPr>
          <w:rFonts w:ascii="Verdana" w:hAnsi="Verdana"/>
        </w:rPr>
      </w:pPr>
      <w:r>
        <w:rPr>
          <w:rFonts w:ascii="Verdana" w:hAnsi="Verdana"/>
        </w:rPr>
        <w:t>Depending on the type of nuclear medicine exam you are undergoing, the dose of radiotracer is then injected intravenously, swallowed or inhaled as a gas.</w:t>
      </w:r>
    </w:p>
    <w:p w:rsidR="00A4782E" w:rsidRDefault="00A4782E" w:rsidP="00E13FB9">
      <w:pPr>
        <w:pStyle w:val="NormalWeb"/>
        <w:jc w:val="both"/>
        <w:rPr>
          <w:rFonts w:ascii="Verdana" w:hAnsi="Verdana"/>
        </w:rPr>
      </w:pPr>
      <w:r>
        <w:rPr>
          <w:rFonts w:ascii="Verdana" w:hAnsi="Verdana"/>
        </w:rPr>
        <w:t>It can take anywhere from several seconds to several days for the radiotracer to travel through your body and accumulate in the organ or area being studied. As a result, imaging may be done immediately, a few hours later, or even several days after you have received the radioactive material.</w:t>
      </w:r>
    </w:p>
    <w:p w:rsidR="00A4782E" w:rsidRDefault="00A4782E" w:rsidP="00E13FB9">
      <w:pPr>
        <w:pStyle w:val="NormalWeb"/>
        <w:jc w:val="both"/>
        <w:rPr>
          <w:rFonts w:ascii="Verdana" w:hAnsi="Verdana"/>
        </w:rPr>
      </w:pPr>
      <w:r>
        <w:rPr>
          <w:rFonts w:ascii="Verdana" w:hAnsi="Verdana"/>
        </w:rPr>
        <w:t>When it is time for the imaging to begin, the gamma camera will take a series of images. The camera may rotate around you or it may stay in one position and you will be asked to change positions in between images. While the camera is taking pictures, you will need to remain still for brief periods of time. In some cases, the camera may move very close to your body. This is necessary to obtain the best quality images. If you are claustrophobic, you should inform the technologist before your exam begins.</w:t>
      </w:r>
    </w:p>
    <w:p w:rsidR="00A4782E" w:rsidRDefault="00A4782E" w:rsidP="00E13FB9">
      <w:pPr>
        <w:pStyle w:val="NormalWeb"/>
        <w:jc w:val="both"/>
        <w:rPr>
          <w:rFonts w:ascii="Verdana" w:hAnsi="Verdana"/>
        </w:rPr>
      </w:pPr>
      <w:r>
        <w:rPr>
          <w:rFonts w:ascii="Verdana" w:hAnsi="Verdana"/>
        </w:rPr>
        <w:t>If a probe is used, this small hand-held device will be passed over the area of the body being studied to measure levels of radioactivity. Other nuclear medicine tests measure radioactivity levels in blood, urine or breath.</w:t>
      </w:r>
    </w:p>
    <w:p w:rsidR="00A4782E" w:rsidRDefault="00A4782E" w:rsidP="00E13FB9">
      <w:pPr>
        <w:pStyle w:val="NormalWeb"/>
        <w:jc w:val="both"/>
        <w:rPr>
          <w:rFonts w:ascii="Verdana" w:hAnsi="Verdana"/>
        </w:rPr>
      </w:pPr>
      <w:r>
        <w:rPr>
          <w:rFonts w:ascii="Verdana" w:hAnsi="Verdana"/>
        </w:rPr>
        <w:t xml:space="preserve">The length of time for nuclear medicine procedures varies greatly, depending on the type of exam. Actual scanning time for nuclear imaging exams can take from 20 minutes to several hours and may be conducted over several days. </w:t>
      </w:r>
    </w:p>
    <w:p w:rsidR="00A4782E" w:rsidRDefault="00A4782E" w:rsidP="00E13FB9">
      <w:pPr>
        <w:pStyle w:val="NormalWeb"/>
        <w:jc w:val="both"/>
        <w:rPr>
          <w:rFonts w:ascii="Verdana" w:hAnsi="Verdana"/>
        </w:rPr>
      </w:pPr>
      <w:r>
        <w:rPr>
          <w:rFonts w:ascii="Verdana" w:hAnsi="Verdana"/>
        </w:rPr>
        <w:t>When the examination is completed, you may be asked to wait until the technologist checks the images in case additional images are needed. Occasionally, additional images are obtained for clarification or better visualization of certain areas or structures. The need for additional images does not necessarily mean there was a problem with the exam or that something abnormal was found, and should not be a cause of concern for you.</w:t>
      </w:r>
    </w:p>
    <w:p w:rsidR="00A4782E" w:rsidRDefault="00A4782E" w:rsidP="00E13FB9">
      <w:pPr>
        <w:pStyle w:val="NormalWeb"/>
        <w:jc w:val="both"/>
        <w:rPr>
          <w:rFonts w:ascii="Verdana" w:hAnsi="Verdana"/>
        </w:rPr>
      </w:pPr>
      <w:r>
        <w:rPr>
          <w:rFonts w:ascii="Verdana" w:hAnsi="Verdana"/>
        </w:rPr>
        <w:t>If you had an intravenous line inserted for the procedure, it will usually be removed unless you are scheduled for an operating room procedure that same day.</w:t>
      </w:r>
    </w:p>
    <w:p w:rsidR="00A4782E" w:rsidRDefault="00A4782E" w:rsidP="00E13FB9">
      <w:pPr>
        <w:pStyle w:val="NormalWeb"/>
        <w:jc w:val="both"/>
        <w:rPr>
          <w:rFonts w:ascii="Verdana" w:hAnsi="Verdana"/>
        </w:rPr>
      </w:pPr>
      <w:r>
        <w:rPr>
          <w:rFonts w:ascii="Verdana" w:hAnsi="Verdana"/>
        </w:rPr>
        <w:t>During radioactive iodine (I-131) therapy, which is most often an outpatient procedure, the radioactive iodine is swallowed, either in capsule or liquid form.</w:t>
      </w:r>
    </w:p>
    <w:p w:rsidR="00A4782E" w:rsidRDefault="00A4782E" w:rsidP="00E13FB9">
      <w:pPr>
        <w:pStyle w:val="Heading2"/>
        <w:jc w:val="both"/>
        <w:rPr>
          <w:rFonts w:ascii="Verdana" w:hAnsi="Verdana"/>
        </w:rPr>
      </w:pPr>
      <w:bookmarkStart w:id="41" w:name="part_seven"/>
      <w:bookmarkEnd w:id="41"/>
      <w:r>
        <w:rPr>
          <w:rFonts w:ascii="Verdana" w:hAnsi="Verdana"/>
        </w:rPr>
        <w:lastRenderedPageBreak/>
        <w:t>What will I experience during and after the procedure?</w:t>
      </w:r>
    </w:p>
    <w:p w:rsidR="00A4782E" w:rsidRDefault="00A4782E" w:rsidP="00E13FB9">
      <w:pPr>
        <w:pStyle w:val="NormalWeb"/>
        <w:jc w:val="both"/>
        <w:rPr>
          <w:rFonts w:ascii="Verdana" w:hAnsi="Verdana"/>
        </w:rPr>
      </w:pPr>
      <w:r>
        <w:rPr>
          <w:rFonts w:ascii="Verdana" w:hAnsi="Verdana"/>
        </w:rPr>
        <w:t>Most nuclear medicine procedures are painless and are rarely associated with significant discomfort or side effects.</w:t>
      </w:r>
    </w:p>
    <w:p w:rsidR="00A4782E" w:rsidRDefault="00A4782E" w:rsidP="00E13FB9">
      <w:pPr>
        <w:pStyle w:val="NormalWeb"/>
        <w:jc w:val="both"/>
        <w:rPr>
          <w:rFonts w:ascii="Verdana" w:hAnsi="Verdana"/>
        </w:rPr>
      </w:pPr>
      <w:r>
        <w:rPr>
          <w:rFonts w:ascii="Verdana" w:hAnsi="Verdana"/>
        </w:rPr>
        <w:t xml:space="preserve">If the radiotracer is given intravenously, you will feel a slight pin prick when the needle is inserted into your vein for the intravenous line. When the radioactive material is injected into your arm, you may feel a cold sensation moving up your arm, but there are generally no other side effects. </w:t>
      </w:r>
    </w:p>
    <w:p w:rsidR="00A4782E" w:rsidRDefault="00A4782E" w:rsidP="00E13FB9">
      <w:pPr>
        <w:pStyle w:val="NormalWeb"/>
        <w:jc w:val="both"/>
        <w:rPr>
          <w:rFonts w:ascii="Verdana" w:hAnsi="Verdana"/>
        </w:rPr>
      </w:pPr>
      <w:r>
        <w:rPr>
          <w:rFonts w:ascii="Verdana" w:hAnsi="Verdana"/>
        </w:rPr>
        <w:t>When swallowed, the radiotracer has little or no taste. When inhaled, you should feel no differently than when breathing room air or holding your breath.</w:t>
      </w:r>
    </w:p>
    <w:p w:rsidR="00A4782E" w:rsidRDefault="00A4782E" w:rsidP="00E13FB9">
      <w:pPr>
        <w:pStyle w:val="NormalWeb"/>
        <w:jc w:val="both"/>
        <w:rPr>
          <w:rFonts w:ascii="Verdana" w:hAnsi="Verdana"/>
        </w:rPr>
      </w:pPr>
      <w:r>
        <w:rPr>
          <w:rFonts w:ascii="Verdana" w:hAnsi="Verdana"/>
        </w:rPr>
        <w:t xml:space="preserve">With some procedures, a </w:t>
      </w:r>
      <w:hyperlink r:id="rId232" w:history="1">
        <w:r>
          <w:rPr>
            <w:rStyle w:val="Hyperlink"/>
            <w:rFonts w:ascii="Verdana" w:hAnsi="Verdana"/>
          </w:rPr>
          <w:t>catheter</w:t>
        </w:r>
      </w:hyperlink>
      <w:r>
        <w:rPr>
          <w:rFonts w:ascii="Verdana" w:hAnsi="Verdana"/>
        </w:rPr>
        <w:t xml:space="preserve"> may be placed into your bladder, which may cause temporary discomfort. </w:t>
      </w:r>
    </w:p>
    <w:p w:rsidR="00A4782E" w:rsidRDefault="00A4782E" w:rsidP="00E13FB9">
      <w:pPr>
        <w:pStyle w:val="NormalWeb"/>
        <w:jc w:val="both"/>
        <w:rPr>
          <w:rFonts w:ascii="Verdana" w:hAnsi="Verdana"/>
        </w:rPr>
      </w:pPr>
      <w:r>
        <w:rPr>
          <w:rFonts w:ascii="Verdana" w:hAnsi="Verdana"/>
        </w:rPr>
        <w:t>It is important that you remain still while the images are being recorded. Though nuclear imaging itself causes no pain, there may be some discomfort from having to remain still or to stay in one particular position during imaging.</w:t>
      </w:r>
    </w:p>
    <w:p w:rsidR="00A4782E" w:rsidRDefault="00A4782E" w:rsidP="00E13FB9">
      <w:pPr>
        <w:pStyle w:val="NormalWeb"/>
        <w:jc w:val="both"/>
        <w:rPr>
          <w:rFonts w:ascii="Verdana" w:hAnsi="Verdana"/>
        </w:rPr>
      </w:pPr>
      <w:r>
        <w:rPr>
          <w:rFonts w:ascii="Verdana" w:hAnsi="Verdana"/>
        </w:rPr>
        <w:t>Unless your physician tells you otherwise, you may resume your normal activities after your nuclear medicine scan. If any special instructions are necessary, you will be informed by a technologist, nurse or physician before you leave the nuclear medicine department.</w:t>
      </w:r>
    </w:p>
    <w:p w:rsidR="00A4782E" w:rsidRDefault="00A4782E" w:rsidP="00E13FB9">
      <w:pPr>
        <w:pStyle w:val="NormalWeb"/>
        <w:jc w:val="both"/>
        <w:rPr>
          <w:rFonts w:ascii="Verdana" w:hAnsi="Verdana"/>
        </w:rPr>
      </w:pPr>
      <w:r>
        <w:rPr>
          <w:rFonts w:ascii="Verdana" w:hAnsi="Verdana"/>
        </w:rPr>
        <w:t>Through the natural process of radioactive decay, the small amount of radiotracer in your body will lose its radioactivity over time. It may pass out of your body through your urine or stool during the first few hours or days following the test. You may be instructed to take special precautions after urinating, to flush the toilet twice and to wash your hands thoroughly. You should also drink plenty of water to help flush the radioactive material out of your body as instructed by the nuclear medicine personnel.</w:t>
      </w:r>
    </w:p>
    <w:p w:rsidR="00A4782E" w:rsidRDefault="00A4782E" w:rsidP="00E13FB9">
      <w:pPr>
        <w:pStyle w:val="NormalWeb"/>
        <w:jc w:val="both"/>
        <w:rPr>
          <w:rFonts w:ascii="Verdana" w:hAnsi="Verdana"/>
        </w:rPr>
      </w:pPr>
      <w:r>
        <w:rPr>
          <w:rStyle w:val="Emphasis"/>
          <w:rFonts w:ascii="Verdana" w:hAnsi="Verdana"/>
        </w:rPr>
        <w:t xml:space="preserve">See the </w:t>
      </w:r>
      <w:hyperlink r:id="rId233" w:history="1">
        <w:r>
          <w:rPr>
            <w:rStyle w:val="Hyperlink"/>
            <w:rFonts w:ascii="Verdana" w:hAnsi="Verdana"/>
            <w:i/>
            <w:iCs/>
          </w:rPr>
          <w:t>Radioactive iodine (I-131) therapy</w:t>
        </w:r>
      </w:hyperlink>
      <w:r>
        <w:rPr>
          <w:rStyle w:val="Emphasis"/>
          <w:rFonts w:ascii="Verdana" w:hAnsi="Verdana"/>
        </w:rPr>
        <w:t xml:space="preserve"> page for information regarding the side-effects of this treatment</w:t>
      </w:r>
    </w:p>
    <w:p w:rsidR="00A4782E" w:rsidRDefault="00A4782E" w:rsidP="00E13FB9">
      <w:pPr>
        <w:pStyle w:val="Heading2"/>
        <w:jc w:val="both"/>
        <w:rPr>
          <w:rFonts w:ascii="Verdana" w:hAnsi="Verdana"/>
        </w:rPr>
      </w:pPr>
      <w:bookmarkStart w:id="42" w:name="part_eight"/>
      <w:bookmarkEnd w:id="42"/>
      <w:r>
        <w:rPr>
          <w:rFonts w:ascii="Verdana" w:hAnsi="Verdana"/>
        </w:rPr>
        <w:t>Who interprets the results and how do I get them?</w:t>
      </w:r>
    </w:p>
    <w:p w:rsidR="00A4782E" w:rsidRDefault="00A4782E" w:rsidP="00E13FB9">
      <w:pPr>
        <w:pStyle w:val="NormalWeb"/>
        <w:jc w:val="both"/>
        <w:rPr>
          <w:rFonts w:ascii="Verdana" w:hAnsi="Verdana"/>
        </w:rPr>
      </w:pPr>
      <w:r>
        <w:rPr>
          <w:rFonts w:ascii="Verdana" w:hAnsi="Verdana"/>
        </w:rPr>
        <w:t>A radiologist who has specialized training in nuclear medicine will interpret the images and forward a report to your referring physician.</w:t>
      </w:r>
    </w:p>
    <w:p w:rsidR="00A4782E" w:rsidRDefault="00A4782E" w:rsidP="00E13FB9">
      <w:pPr>
        <w:pStyle w:val="Heading2"/>
        <w:jc w:val="both"/>
        <w:rPr>
          <w:rFonts w:ascii="Verdana" w:hAnsi="Verdana"/>
        </w:rPr>
      </w:pPr>
      <w:bookmarkStart w:id="43" w:name="part_nine"/>
      <w:bookmarkEnd w:id="43"/>
      <w:r>
        <w:rPr>
          <w:rFonts w:ascii="Verdana" w:hAnsi="Verdana"/>
        </w:rPr>
        <w:t>What are the benefits vs. risks?</w:t>
      </w:r>
    </w:p>
    <w:p w:rsidR="00A4782E" w:rsidRDefault="00A4782E" w:rsidP="00E13FB9">
      <w:pPr>
        <w:pStyle w:val="Heading3"/>
        <w:jc w:val="both"/>
        <w:rPr>
          <w:rFonts w:ascii="Verdana" w:hAnsi="Verdana"/>
        </w:rPr>
      </w:pPr>
      <w:r>
        <w:rPr>
          <w:rFonts w:ascii="Verdana" w:hAnsi="Verdana"/>
        </w:rPr>
        <w:t>Benefits</w:t>
      </w:r>
    </w:p>
    <w:p w:rsidR="00A4782E" w:rsidRDefault="00A4782E" w:rsidP="00E13FB9">
      <w:pPr>
        <w:numPr>
          <w:ilvl w:val="0"/>
          <w:numId w:val="12"/>
        </w:numPr>
        <w:spacing w:after="120" w:line="240" w:lineRule="auto"/>
        <w:jc w:val="both"/>
        <w:rPr>
          <w:rFonts w:ascii="Verdana" w:hAnsi="Verdana"/>
          <w:color w:val="000000"/>
          <w:sz w:val="20"/>
          <w:szCs w:val="20"/>
        </w:rPr>
      </w:pPr>
      <w:r>
        <w:rPr>
          <w:rFonts w:ascii="Verdana" w:hAnsi="Verdana"/>
          <w:color w:val="000000"/>
          <w:sz w:val="20"/>
          <w:szCs w:val="20"/>
        </w:rPr>
        <w:t xml:space="preserve">The information provided by nuclear medicine examinations is unique and often unattainable using other imaging procedures. </w:t>
      </w:r>
    </w:p>
    <w:p w:rsidR="00A4782E" w:rsidRDefault="00A4782E" w:rsidP="00E13FB9">
      <w:pPr>
        <w:numPr>
          <w:ilvl w:val="0"/>
          <w:numId w:val="12"/>
        </w:numPr>
        <w:spacing w:after="120" w:line="240" w:lineRule="auto"/>
        <w:jc w:val="both"/>
        <w:rPr>
          <w:rFonts w:ascii="Verdana" w:hAnsi="Verdana"/>
          <w:color w:val="000000"/>
          <w:sz w:val="20"/>
          <w:szCs w:val="20"/>
        </w:rPr>
      </w:pPr>
      <w:r>
        <w:rPr>
          <w:rFonts w:ascii="Verdana" w:hAnsi="Verdana"/>
          <w:color w:val="000000"/>
          <w:sz w:val="20"/>
          <w:szCs w:val="20"/>
        </w:rPr>
        <w:t xml:space="preserve">For many diseases, nuclear medicine scans yield the most useful information needed to make a diagnosis or to determine appropriate treatment, if any. </w:t>
      </w:r>
    </w:p>
    <w:p w:rsidR="00A4782E" w:rsidRDefault="00A4782E" w:rsidP="00E13FB9">
      <w:pPr>
        <w:numPr>
          <w:ilvl w:val="0"/>
          <w:numId w:val="12"/>
        </w:numPr>
        <w:spacing w:after="120" w:line="240" w:lineRule="auto"/>
        <w:jc w:val="both"/>
        <w:rPr>
          <w:rFonts w:ascii="Verdana" w:hAnsi="Verdana"/>
          <w:color w:val="000000"/>
          <w:sz w:val="20"/>
          <w:szCs w:val="20"/>
        </w:rPr>
      </w:pPr>
      <w:r>
        <w:rPr>
          <w:rFonts w:ascii="Verdana" w:hAnsi="Verdana"/>
          <w:color w:val="000000"/>
          <w:sz w:val="20"/>
          <w:szCs w:val="20"/>
        </w:rPr>
        <w:lastRenderedPageBreak/>
        <w:t xml:space="preserve">Nuclear medicine is less expensive and may yield more precise information than exploratory surgery. </w:t>
      </w:r>
    </w:p>
    <w:p w:rsidR="00A4782E" w:rsidRDefault="00A4782E" w:rsidP="00E13FB9">
      <w:pPr>
        <w:pStyle w:val="Heading3"/>
        <w:jc w:val="both"/>
        <w:rPr>
          <w:rFonts w:ascii="Verdana" w:hAnsi="Verdana"/>
          <w:color w:val="005572"/>
          <w:sz w:val="24"/>
          <w:szCs w:val="24"/>
        </w:rPr>
      </w:pPr>
      <w:r>
        <w:rPr>
          <w:rFonts w:ascii="Verdana" w:hAnsi="Verdana"/>
        </w:rPr>
        <w:t>Risks</w:t>
      </w:r>
    </w:p>
    <w:p w:rsidR="00A4782E" w:rsidRDefault="00A4782E" w:rsidP="00E13FB9">
      <w:pPr>
        <w:numPr>
          <w:ilvl w:val="0"/>
          <w:numId w:val="13"/>
        </w:numPr>
        <w:spacing w:after="120" w:line="240" w:lineRule="auto"/>
        <w:jc w:val="both"/>
        <w:rPr>
          <w:rFonts w:ascii="Verdana" w:hAnsi="Verdana"/>
          <w:color w:val="000000"/>
          <w:sz w:val="20"/>
          <w:szCs w:val="20"/>
        </w:rPr>
      </w:pPr>
      <w:r>
        <w:rPr>
          <w:rFonts w:ascii="Verdana" w:hAnsi="Verdana"/>
          <w:color w:val="000000"/>
          <w:sz w:val="20"/>
          <w:szCs w:val="20"/>
        </w:rPr>
        <w:t xml:space="preserve">Because the doses of radiotracer administered are small, diagnostic nuclear medicine procedures result in low radiation exposure, acceptable for diagnostic exams. Thus, the radiation risk is very low compared with the potential benefits. </w:t>
      </w:r>
    </w:p>
    <w:p w:rsidR="00A4782E" w:rsidRDefault="00A4782E" w:rsidP="00E13FB9">
      <w:pPr>
        <w:numPr>
          <w:ilvl w:val="0"/>
          <w:numId w:val="13"/>
        </w:numPr>
        <w:spacing w:after="120" w:line="240" w:lineRule="auto"/>
        <w:jc w:val="both"/>
        <w:rPr>
          <w:rFonts w:ascii="Verdana" w:hAnsi="Verdana"/>
          <w:color w:val="000000"/>
          <w:sz w:val="20"/>
          <w:szCs w:val="20"/>
        </w:rPr>
      </w:pPr>
      <w:r>
        <w:rPr>
          <w:rFonts w:ascii="Verdana" w:hAnsi="Verdana"/>
          <w:color w:val="000000"/>
          <w:sz w:val="20"/>
          <w:szCs w:val="20"/>
        </w:rPr>
        <w:t xml:space="preserve">Nuclear medicine has been used for more than five decades, and there are no known long-term adverse effects from such low-dose exposure. </w:t>
      </w:r>
    </w:p>
    <w:p w:rsidR="00A4782E" w:rsidRDefault="00A4782E" w:rsidP="00E13FB9">
      <w:pPr>
        <w:numPr>
          <w:ilvl w:val="0"/>
          <w:numId w:val="13"/>
        </w:numPr>
        <w:spacing w:after="120" w:line="240" w:lineRule="auto"/>
        <w:jc w:val="both"/>
        <w:rPr>
          <w:rFonts w:ascii="Verdana" w:hAnsi="Verdana"/>
          <w:color w:val="000000"/>
          <w:sz w:val="20"/>
          <w:szCs w:val="20"/>
        </w:rPr>
      </w:pPr>
      <w:r>
        <w:rPr>
          <w:rFonts w:ascii="Verdana" w:hAnsi="Verdana"/>
          <w:color w:val="000000"/>
          <w:sz w:val="20"/>
          <w:szCs w:val="20"/>
        </w:rPr>
        <w:t xml:space="preserve">Allergic reactions to radiopharmaceuticals may occur but are extremely rare and are usually mild. Nevertheless, you should inform the nuclear medicine personnel of any allergies you may have or other problems that may have occurred during a previous nuclear medicine exam. </w:t>
      </w:r>
    </w:p>
    <w:p w:rsidR="00A4782E" w:rsidRDefault="00A4782E" w:rsidP="00E13FB9">
      <w:pPr>
        <w:numPr>
          <w:ilvl w:val="0"/>
          <w:numId w:val="13"/>
        </w:numPr>
        <w:spacing w:after="120" w:line="240" w:lineRule="auto"/>
        <w:jc w:val="both"/>
        <w:rPr>
          <w:rFonts w:ascii="Verdana" w:hAnsi="Verdana"/>
          <w:color w:val="000000"/>
          <w:sz w:val="20"/>
          <w:szCs w:val="20"/>
        </w:rPr>
      </w:pPr>
      <w:r>
        <w:rPr>
          <w:rFonts w:ascii="Verdana" w:hAnsi="Verdana"/>
          <w:color w:val="000000"/>
          <w:sz w:val="20"/>
          <w:szCs w:val="20"/>
        </w:rPr>
        <w:t xml:space="preserve">Injection of the radiotracer may cause slight pain and redness which should rapidly resolve. </w:t>
      </w:r>
    </w:p>
    <w:p w:rsidR="00A4782E" w:rsidRDefault="00A4782E" w:rsidP="00E13FB9">
      <w:pPr>
        <w:numPr>
          <w:ilvl w:val="0"/>
          <w:numId w:val="13"/>
        </w:numPr>
        <w:spacing w:after="120" w:line="240" w:lineRule="auto"/>
        <w:jc w:val="both"/>
        <w:rPr>
          <w:rFonts w:ascii="Verdana" w:hAnsi="Verdana"/>
          <w:color w:val="000000"/>
          <w:sz w:val="20"/>
          <w:szCs w:val="20"/>
        </w:rPr>
      </w:pPr>
      <w:r>
        <w:rPr>
          <w:rFonts w:ascii="Verdana" w:hAnsi="Verdana"/>
          <w:color w:val="000000"/>
          <w:sz w:val="20"/>
          <w:szCs w:val="20"/>
        </w:rPr>
        <w:t xml:space="preserve">Women should always inform their physician or radiology technologist if there is any possibility that they are pregnant or if they are breastfeeding their baby. See the </w:t>
      </w:r>
      <w:hyperlink r:id="rId234" w:anchor="6" w:history="1">
        <w:r>
          <w:rPr>
            <w:rStyle w:val="Hyperlink"/>
            <w:rFonts w:ascii="Verdana" w:hAnsi="Verdana"/>
            <w:i/>
            <w:iCs/>
            <w:sz w:val="20"/>
            <w:szCs w:val="20"/>
          </w:rPr>
          <w:t>Safety page</w:t>
        </w:r>
      </w:hyperlink>
      <w:r>
        <w:rPr>
          <w:rFonts w:ascii="Verdana" w:hAnsi="Verdana"/>
          <w:color w:val="000000"/>
          <w:sz w:val="20"/>
          <w:szCs w:val="20"/>
        </w:rPr>
        <w:t xml:space="preserve"> for more information about pregnancy, breastfeeding and nuclear medicine exams. </w:t>
      </w:r>
    </w:p>
    <w:p w:rsidR="00A4782E" w:rsidRDefault="00A4782E" w:rsidP="00E13FB9">
      <w:pPr>
        <w:pStyle w:val="Heading2"/>
        <w:jc w:val="both"/>
        <w:rPr>
          <w:rFonts w:ascii="Verdana" w:hAnsi="Verdana"/>
          <w:color w:val="005572"/>
          <w:sz w:val="29"/>
          <w:szCs w:val="29"/>
        </w:rPr>
      </w:pPr>
      <w:bookmarkStart w:id="44" w:name="part_ten"/>
      <w:bookmarkEnd w:id="44"/>
      <w:r>
        <w:rPr>
          <w:rFonts w:ascii="Verdana" w:hAnsi="Verdana"/>
        </w:rPr>
        <w:t xml:space="preserve">What are the limitations of General Nuclear Medicine? </w:t>
      </w:r>
    </w:p>
    <w:p w:rsidR="00A4782E" w:rsidRDefault="00A4782E" w:rsidP="00E13FB9">
      <w:pPr>
        <w:pStyle w:val="NormalWeb"/>
        <w:jc w:val="both"/>
        <w:rPr>
          <w:rFonts w:ascii="Verdana" w:hAnsi="Verdana"/>
        </w:rPr>
      </w:pPr>
      <w:r>
        <w:rPr>
          <w:rFonts w:ascii="Verdana" w:hAnsi="Verdana"/>
        </w:rPr>
        <w:t>Nuclear medicine procedures can be time-consuming. It can take hours to days for the radiotracer to accumulate in the part of the body under study and imaging may take up to several hours to perform, though in some cases, newer equipment is available that can substantially shorten the procedure time. You will be informed as to how often and when you will need to return to the nuclear medicine department for further procedures.</w:t>
      </w:r>
    </w:p>
    <w:p w:rsidR="00A4782E" w:rsidRDefault="00A4782E" w:rsidP="00E13FB9">
      <w:pPr>
        <w:pStyle w:val="NormalWeb"/>
        <w:pBdr>
          <w:bottom w:val="thinThickThinMediumGap" w:sz="18" w:space="1" w:color="auto"/>
        </w:pBdr>
        <w:jc w:val="both"/>
        <w:rPr>
          <w:rFonts w:ascii="Verdana" w:hAnsi="Verdana"/>
        </w:rPr>
      </w:pPr>
      <w:r>
        <w:rPr>
          <w:rFonts w:ascii="Verdana" w:hAnsi="Verdana"/>
        </w:rPr>
        <w:t>The resolution of structures of the body with nuclear medicine may not be as clear as with other imaging techniques, such as CT or MRI. However, nuclear medicine scans are more sensitive than other techniques for a variety of indications, and the functional information gained from nuclear medicine exams is often unobtainable by any other imaging techniques.</w:t>
      </w:r>
    </w:p>
    <w:tbl>
      <w:tblPr>
        <w:tblpPr w:leftFromText="45" w:rightFromText="45" w:vertAnchor="text"/>
        <w:tblW w:w="6900" w:type="dxa"/>
        <w:tblCellSpacing w:w="15" w:type="dxa"/>
        <w:tblCellMar>
          <w:top w:w="15" w:type="dxa"/>
          <w:left w:w="15" w:type="dxa"/>
          <w:bottom w:w="15" w:type="dxa"/>
          <w:right w:w="15" w:type="dxa"/>
        </w:tblCellMar>
        <w:tblLook w:val="04A0"/>
      </w:tblPr>
      <w:tblGrid>
        <w:gridCol w:w="10640"/>
      </w:tblGrid>
      <w:tr w:rsidR="00445CA7">
        <w:trPr>
          <w:tblCellSpacing w:w="15" w:type="dxa"/>
        </w:trPr>
        <w:tc>
          <w:tcPr>
            <w:tcW w:w="6900" w:type="dxa"/>
            <w:vAlign w:val="center"/>
            <w:hideMark/>
          </w:tcPr>
          <w:p w:rsidR="00445CA7" w:rsidRDefault="00445CA7" w:rsidP="00E13FB9">
            <w:pPr>
              <w:pStyle w:val="NormalWeb"/>
              <w:jc w:val="both"/>
            </w:pPr>
            <w:r>
              <w:rPr>
                <w:rStyle w:val="Strong"/>
                <w:color w:val="002F5E"/>
              </w:rPr>
              <w:t xml:space="preserve">5.1 Nuclear Medicine in the Treatment of Endocrine and Neuroendocrine Tumors. </w:t>
            </w:r>
            <w:r>
              <w:rPr>
                <w:rFonts w:ascii="Arial" w:hAnsi="Arial" w:cs="Arial"/>
                <w:b/>
                <w:bCs/>
                <w:color w:val="002F5E"/>
              </w:rPr>
              <w:br/>
            </w:r>
            <w:r>
              <w:rPr>
                <w:rFonts w:ascii="Arial" w:hAnsi="Arial" w:cs="Arial"/>
                <w:b/>
                <w:bCs/>
                <w:color w:val="002F5E"/>
              </w:rPr>
              <w:br/>
            </w:r>
            <w:r>
              <w:rPr>
                <w:rStyle w:val="Strong"/>
                <w:color w:val="002F5E"/>
              </w:rPr>
              <w:t xml:space="preserve">Article N° AJ18-8 </w:t>
            </w:r>
          </w:p>
          <w:tbl>
            <w:tblPr>
              <w:tblW w:w="7050" w:type="dxa"/>
              <w:jc w:val="center"/>
              <w:tblCellSpacing w:w="0" w:type="dxa"/>
              <w:tblBorders>
                <w:top w:val="outset" w:sz="12" w:space="0" w:color="3399CC"/>
                <w:left w:val="outset" w:sz="12" w:space="0" w:color="3399CC"/>
                <w:bottom w:val="outset" w:sz="12" w:space="0" w:color="3399CC"/>
                <w:right w:val="outset" w:sz="12" w:space="0" w:color="3399CC"/>
              </w:tblBorders>
              <w:tblCellMar>
                <w:top w:w="75" w:type="dxa"/>
                <w:left w:w="75" w:type="dxa"/>
                <w:bottom w:w="75" w:type="dxa"/>
                <w:right w:w="75" w:type="dxa"/>
              </w:tblCellMar>
              <w:tblLook w:val="04A0"/>
            </w:tblPr>
            <w:tblGrid>
              <w:gridCol w:w="6864"/>
              <w:gridCol w:w="186"/>
            </w:tblGrid>
            <w:tr w:rsidR="00445CA7">
              <w:trPr>
                <w:tblCellSpacing w:w="0" w:type="dxa"/>
                <w:jc w:val="center"/>
              </w:trPr>
              <w:tc>
                <w:tcPr>
                  <w:tcW w:w="6900" w:type="dxa"/>
                  <w:gridSpan w:val="2"/>
                  <w:tcBorders>
                    <w:top w:val="outset" w:sz="6" w:space="0" w:color="3399CC"/>
                    <w:left w:val="outset" w:sz="6" w:space="0" w:color="3399CC"/>
                    <w:bottom w:val="outset" w:sz="6" w:space="0" w:color="3399CC"/>
                    <w:right w:val="outset" w:sz="6" w:space="0" w:color="3399CC"/>
                  </w:tcBorders>
                  <w:shd w:val="clear" w:color="auto" w:fill="4088D0"/>
                  <w:hideMark/>
                </w:tcPr>
                <w:p w:rsidR="00445CA7" w:rsidRDefault="00445CA7" w:rsidP="00FE174D">
                  <w:pPr>
                    <w:pStyle w:val="NormalWeb"/>
                    <w:framePr w:hSpace="45" w:wrap="around" w:vAnchor="text" w:hAnchor="text"/>
                    <w:jc w:val="both"/>
                  </w:pPr>
                  <w:r>
                    <w:rPr>
                      <w:rFonts w:ascii="Arial" w:hAnsi="Arial" w:cs="Arial"/>
                      <w:b/>
                      <w:bCs/>
                      <w:sz w:val="20"/>
                      <w:szCs w:val="20"/>
                    </w:rPr>
                    <w:t xml:space="preserve">R.A. Valdes Olmos, C.A. Hoefnagel, E. Bais, H. Boot, B. Taal, J. de Kraker, P.A. Voûte </w:t>
                  </w:r>
                  <w:r>
                    <w:rPr>
                      <w:rFonts w:ascii="Arial" w:hAnsi="Arial" w:cs="Arial"/>
                      <w:b/>
                      <w:bCs/>
                      <w:sz w:val="20"/>
                      <w:szCs w:val="20"/>
                    </w:rPr>
                    <w:br/>
                    <w:t>The Netherlands Cancer Institute, Amsterdam, The Netherlands</w:t>
                  </w:r>
                  <w:r>
                    <w:rPr>
                      <w:rFonts w:ascii="Arial" w:hAnsi="Arial" w:cs="Arial"/>
                      <w:sz w:val="20"/>
                      <w:szCs w:val="20"/>
                    </w:rPr>
                    <w:t xml:space="preserve"> </w:t>
                  </w:r>
                </w:p>
              </w:tc>
            </w:tr>
            <w:tr w:rsidR="00445CA7">
              <w:trPr>
                <w:tblCellSpacing w:w="0" w:type="dxa"/>
                <w:jc w:val="center"/>
              </w:trPr>
              <w:tc>
                <w:tcPr>
                  <w:tcW w:w="6900" w:type="dxa"/>
                  <w:tcBorders>
                    <w:top w:val="outset" w:sz="6" w:space="0" w:color="3399CC"/>
                    <w:left w:val="outset" w:sz="6" w:space="0" w:color="3399CC"/>
                    <w:bottom w:val="outset" w:sz="6" w:space="0" w:color="3399CC"/>
                    <w:right w:val="outset" w:sz="6" w:space="0" w:color="3399CC"/>
                  </w:tcBorders>
                  <w:shd w:val="clear" w:color="auto" w:fill="EFEFEF"/>
                  <w:hideMark/>
                </w:tcPr>
                <w:p w:rsidR="00445CA7" w:rsidRDefault="00445CA7" w:rsidP="00FE174D">
                  <w:pPr>
                    <w:pStyle w:val="NormalWeb"/>
                    <w:framePr w:hSpace="45" w:wrap="around" w:vAnchor="text" w:hAnchor="text"/>
                    <w:jc w:val="both"/>
                  </w:pPr>
                  <w:r>
                    <w:rPr>
                      <w:rStyle w:val="Strong"/>
                      <w:sz w:val="20"/>
                      <w:szCs w:val="20"/>
                    </w:rPr>
                    <w:t>Correspondence:</w:t>
                  </w:r>
                </w:p>
                <w:p w:rsidR="00445CA7" w:rsidRDefault="00445CA7" w:rsidP="00FE174D">
                  <w:pPr>
                    <w:pStyle w:val="NormalWeb"/>
                    <w:framePr w:hSpace="45" w:wrap="around" w:vAnchor="text" w:hAnchor="text"/>
                    <w:jc w:val="both"/>
                  </w:pPr>
                  <w:r>
                    <w:rPr>
                      <w:rFonts w:ascii="Arial" w:hAnsi="Arial" w:cs="Arial"/>
                      <w:sz w:val="20"/>
                      <w:szCs w:val="20"/>
                    </w:rPr>
                    <w:t xml:space="preserve">Mailing address: R.A. Valdes Olmos, MD, PhD Nuclear Medicine Physician The Netherlands Cancer Institute Plesmanlaan 121 1066 CX Amsterdam Telephone: 31-20-5122289 Fax: 31-20-5122290 E-mail: r.valdes@nki.nl </w:t>
                  </w:r>
                </w:p>
              </w:tc>
              <w:tc>
                <w:tcPr>
                  <w:tcW w:w="0" w:type="auto"/>
                  <w:shd w:val="clear" w:color="auto" w:fill="EFEFEF"/>
                  <w:vAlign w:val="center"/>
                  <w:hideMark/>
                </w:tcPr>
                <w:p w:rsidR="00445CA7" w:rsidRDefault="00445CA7" w:rsidP="00FE174D">
                  <w:pPr>
                    <w:framePr w:hSpace="45" w:wrap="around" w:vAnchor="text" w:hAnchor="text"/>
                    <w:jc w:val="both"/>
                    <w:rPr>
                      <w:sz w:val="20"/>
                      <w:szCs w:val="20"/>
                    </w:rPr>
                  </w:pPr>
                </w:p>
              </w:tc>
            </w:tr>
            <w:tr w:rsidR="00445CA7">
              <w:trPr>
                <w:tblCellSpacing w:w="0" w:type="dxa"/>
                <w:jc w:val="center"/>
              </w:trPr>
              <w:tc>
                <w:tcPr>
                  <w:tcW w:w="6900" w:type="dxa"/>
                  <w:tcBorders>
                    <w:top w:val="outset" w:sz="6" w:space="0" w:color="3399CC"/>
                    <w:left w:val="outset" w:sz="6" w:space="0" w:color="3399CC"/>
                    <w:bottom w:val="outset" w:sz="6" w:space="0" w:color="3399CC"/>
                    <w:right w:val="outset" w:sz="6" w:space="0" w:color="3399CC"/>
                  </w:tcBorders>
                  <w:shd w:val="clear" w:color="auto" w:fill="EFEFEF"/>
                  <w:hideMark/>
                </w:tcPr>
                <w:p w:rsidR="00445CA7" w:rsidRDefault="00445CA7" w:rsidP="00FE174D">
                  <w:pPr>
                    <w:pStyle w:val="NormalWeb"/>
                    <w:framePr w:hSpace="45" w:wrap="around" w:vAnchor="text" w:hAnchor="text"/>
                    <w:jc w:val="both"/>
                  </w:pPr>
                  <w:r>
                    <w:rPr>
                      <w:rStyle w:val="Strong"/>
                      <w:sz w:val="20"/>
                      <w:szCs w:val="20"/>
                    </w:rPr>
                    <w:t>Cita/Reference:</w:t>
                  </w:r>
                  <w:r>
                    <w:rPr>
                      <w:rFonts w:ascii="Arial" w:hAnsi="Arial" w:cs="Arial"/>
                      <w:b/>
                      <w:bCs/>
                      <w:sz w:val="20"/>
                      <w:szCs w:val="20"/>
                    </w:rPr>
                    <w:br/>
                  </w:r>
                  <w:r>
                    <w:rPr>
                      <w:rFonts w:ascii="Arial" w:hAnsi="Arial" w:cs="Arial"/>
                      <w:sz w:val="20"/>
                      <w:szCs w:val="20"/>
                    </w:rPr>
                    <w:t xml:space="preserve">Valdes Olmos, R.A., et al. Nuclear Medicine in the Tretment of Endocrine and Neuroendocrine Tumors. Alasbimn Journal 5(18): October 2002. Article N° AJ18-8. </w:t>
                  </w:r>
                </w:p>
              </w:tc>
              <w:tc>
                <w:tcPr>
                  <w:tcW w:w="0" w:type="auto"/>
                  <w:shd w:val="clear" w:color="auto" w:fill="EFEFEF"/>
                  <w:vAlign w:val="center"/>
                  <w:hideMark/>
                </w:tcPr>
                <w:p w:rsidR="00445CA7" w:rsidRDefault="00445CA7" w:rsidP="00FE174D">
                  <w:pPr>
                    <w:framePr w:hSpace="45" w:wrap="around" w:vAnchor="text" w:hAnchor="text"/>
                    <w:jc w:val="both"/>
                    <w:rPr>
                      <w:sz w:val="20"/>
                      <w:szCs w:val="20"/>
                    </w:rPr>
                  </w:pPr>
                </w:p>
              </w:tc>
            </w:tr>
          </w:tbl>
          <w:p w:rsidR="00445CA7" w:rsidRDefault="00445CA7" w:rsidP="00E13FB9">
            <w:pPr>
              <w:pStyle w:val="NormalWeb"/>
              <w:jc w:val="both"/>
            </w:pPr>
            <w:r>
              <w:lastRenderedPageBreak/>
              <w:t> </w:t>
            </w:r>
          </w:p>
        </w:tc>
      </w:tr>
      <w:tr w:rsidR="00445CA7">
        <w:trPr>
          <w:tblCellSpacing w:w="15" w:type="dxa"/>
        </w:trPr>
        <w:tc>
          <w:tcPr>
            <w:tcW w:w="6900" w:type="dxa"/>
            <w:hideMark/>
          </w:tcPr>
          <w:tbl>
            <w:tblPr>
              <w:tblW w:w="5000" w:type="pct"/>
              <w:tblCellSpacing w:w="15" w:type="dxa"/>
              <w:tblCellMar>
                <w:top w:w="15" w:type="dxa"/>
                <w:left w:w="15" w:type="dxa"/>
                <w:bottom w:w="15" w:type="dxa"/>
                <w:right w:w="15" w:type="dxa"/>
              </w:tblCellMar>
              <w:tblLook w:val="04A0"/>
            </w:tblPr>
            <w:tblGrid>
              <w:gridCol w:w="10087"/>
              <w:gridCol w:w="463"/>
            </w:tblGrid>
            <w:tr w:rsidR="00445CA7">
              <w:trPr>
                <w:tblCellSpacing w:w="15" w:type="dxa"/>
              </w:trPr>
              <w:tc>
                <w:tcPr>
                  <w:tcW w:w="0" w:type="auto"/>
                  <w:vAlign w:val="center"/>
                  <w:hideMark/>
                </w:tcPr>
                <w:p w:rsidR="00445CA7" w:rsidRDefault="00445CA7" w:rsidP="00E13FB9">
                  <w:pPr>
                    <w:pStyle w:val="NormalWeb"/>
                    <w:framePr w:hSpace="45" w:wrap="around" w:vAnchor="text" w:hAnchor="text"/>
                    <w:jc w:val="both"/>
                  </w:pPr>
                  <w:r>
                    <w:lastRenderedPageBreak/>
                    <w:t> </w:t>
                  </w:r>
                </w:p>
              </w:tc>
              <w:tc>
                <w:tcPr>
                  <w:tcW w:w="0" w:type="auto"/>
                  <w:vAlign w:val="center"/>
                  <w:hideMark/>
                </w:tcPr>
                <w:p w:rsidR="00445CA7" w:rsidRDefault="00445CA7" w:rsidP="00E13FB9">
                  <w:pPr>
                    <w:framePr w:hSpace="45" w:wrap="around" w:vAnchor="text" w:hAnchor="text"/>
                    <w:jc w:val="both"/>
                    <w:rPr>
                      <w:sz w:val="24"/>
                      <w:szCs w:val="24"/>
                    </w:rPr>
                  </w:pPr>
                  <w:r>
                    <w:t> </w:t>
                  </w:r>
                </w:p>
              </w:tc>
            </w:tr>
            <w:tr w:rsidR="00445CA7">
              <w:trPr>
                <w:tblCellSpacing w:w="15" w:type="dxa"/>
              </w:trPr>
              <w:tc>
                <w:tcPr>
                  <w:tcW w:w="4800" w:type="pct"/>
                  <w:hideMark/>
                </w:tcPr>
                <w:p w:rsidR="00445CA7" w:rsidRDefault="00445CA7" w:rsidP="00E13FB9">
                  <w:pPr>
                    <w:pStyle w:val="NormalWeb"/>
                    <w:framePr w:hSpace="45" w:wrap="around" w:vAnchor="text" w:hAnchor="text"/>
                    <w:jc w:val="both"/>
                  </w:pPr>
                  <w:r>
                    <w:rPr>
                      <w:rFonts w:ascii="Arial" w:hAnsi="Arial" w:cs="Arial"/>
                      <w:b/>
                      <w:bCs/>
                      <w:sz w:val="20"/>
                      <w:szCs w:val="20"/>
                    </w:rPr>
                    <w:t xml:space="preserve">Summary </w:t>
                  </w:r>
                </w:p>
                <w:p w:rsidR="00445CA7" w:rsidRDefault="00445CA7" w:rsidP="00E13FB9">
                  <w:pPr>
                    <w:framePr w:hSpace="45" w:wrap="around" w:vAnchor="text" w:hAnchor="text"/>
                    <w:jc w:val="both"/>
                  </w:pPr>
                </w:p>
                <w:p w:rsidR="00445CA7" w:rsidRDefault="00445CA7" w:rsidP="00E13FB9">
                  <w:pPr>
                    <w:pStyle w:val="NormalWeb"/>
                    <w:framePr w:hSpace="45" w:wrap="around" w:vAnchor="text" w:hAnchor="text"/>
                    <w:jc w:val="both"/>
                    <w:rPr>
                      <w:rFonts w:ascii="Arial" w:hAnsi="Arial" w:cs="Arial"/>
                      <w:sz w:val="20"/>
                      <w:szCs w:val="20"/>
                    </w:rPr>
                  </w:pPr>
                  <w:r>
                    <w:rPr>
                      <w:rFonts w:ascii="Arial" w:hAnsi="Arial" w:cs="Arial"/>
                      <w:sz w:val="20"/>
                      <w:szCs w:val="20"/>
                    </w:rPr>
                    <w:t xml:space="preserve">Radionuclide therapy plays an important role in the treatment of endocrine and neuroendocrine tumors. Therapy with </w:t>
                  </w:r>
                  <w:r>
                    <w:rPr>
                      <w:rFonts w:ascii="Arial" w:hAnsi="Arial" w:cs="Arial"/>
                      <w:sz w:val="20"/>
                      <w:szCs w:val="20"/>
                      <w:vertAlign w:val="superscript"/>
                    </w:rPr>
                    <w:t>131</w:t>
                  </w:r>
                  <w:r>
                    <w:rPr>
                      <w:rFonts w:ascii="Arial" w:hAnsi="Arial" w:cs="Arial"/>
                      <w:sz w:val="20"/>
                      <w:szCs w:val="20"/>
                    </w:rPr>
                    <w:t xml:space="preserve">I is used in patients with papillary and follicular thyroid carcinoma for ablation of thyroid remnants and for treatment of distant metastases. In neck recurrence, </w:t>
                  </w:r>
                  <w:r>
                    <w:rPr>
                      <w:rFonts w:ascii="Arial" w:hAnsi="Arial" w:cs="Arial"/>
                      <w:sz w:val="20"/>
                      <w:szCs w:val="20"/>
                      <w:vertAlign w:val="superscript"/>
                    </w:rPr>
                    <w:t>131</w:t>
                  </w:r>
                  <w:r>
                    <w:rPr>
                      <w:rFonts w:ascii="Arial" w:hAnsi="Arial" w:cs="Arial"/>
                      <w:sz w:val="20"/>
                      <w:szCs w:val="20"/>
                    </w:rPr>
                    <w:t xml:space="preserve">I may be used as monotherapy or in combination with surgery. Both radioimmunotherapy and </w:t>
                  </w:r>
                  <w:r>
                    <w:rPr>
                      <w:rFonts w:ascii="Arial" w:hAnsi="Arial" w:cs="Arial"/>
                      <w:sz w:val="20"/>
                      <w:szCs w:val="20"/>
                      <w:vertAlign w:val="superscript"/>
                    </w:rPr>
                    <w:t>90</w:t>
                  </w:r>
                  <w:r>
                    <w:rPr>
                      <w:rFonts w:ascii="Arial" w:hAnsi="Arial" w:cs="Arial"/>
                      <w:sz w:val="20"/>
                      <w:szCs w:val="20"/>
                    </w:rPr>
                    <w:t>Y-DOTATOC are being applied in non-</w:t>
                  </w:r>
                  <w:r>
                    <w:rPr>
                      <w:rFonts w:ascii="Arial" w:hAnsi="Arial" w:cs="Arial"/>
                      <w:sz w:val="20"/>
                      <w:szCs w:val="20"/>
                      <w:vertAlign w:val="superscript"/>
                    </w:rPr>
                    <w:t>131</w:t>
                  </w:r>
                  <w:r>
                    <w:rPr>
                      <w:rFonts w:ascii="Arial" w:hAnsi="Arial" w:cs="Arial"/>
                      <w:sz w:val="20"/>
                      <w:szCs w:val="20"/>
                    </w:rPr>
                    <w:t xml:space="preserve">I-avid thyroid malignancies such as medullary thyroid carcinoma. </w:t>
                  </w:r>
                  <w:r>
                    <w:rPr>
                      <w:rFonts w:ascii="Arial" w:hAnsi="Arial" w:cs="Arial"/>
                      <w:sz w:val="20"/>
                      <w:szCs w:val="20"/>
                      <w:vertAlign w:val="superscript"/>
                    </w:rPr>
                    <w:t>131</w:t>
                  </w:r>
                  <w:r>
                    <w:rPr>
                      <w:rFonts w:ascii="Arial" w:hAnsi="Arial" w:cs="Arial"/>
                      <w:sz w:val="20"/>
                      <w:szCs w:val="20"/>
                    </w:rPr>
                    <w:t xml:space="preserve">I-MIBG is currently used in various treatment schedules for recurrences and metastases of neuroblastoma, pheochromocytoma, paraganglioma and carcinoid. In neuroblastoma </w:t>
                  </w:r>
                  <w:r>
                    <w:rPr>
                      <w:rFonts w:ascii="Arial" w:hAnsi="Arial" w:cs="Arial"/>
                      <w:sz w:val="20"/>
                      <w:szCs w:val="20"/>
                      <w:vertAlign w:val="superscript"/>
                    </w:rPr>
                    <w:t>131</w:t>
                  </w:r>
                  <w:r>
                    <w:rPr>
                      <w:rFonts w:ascii="Arial" w:hAnsi="Arial" w:cs="Arial"/>
                      <w:sz w:val="20"/>
                      <w:szCs w:val="20"/>
                    </w:rPr>
                    <w:t>I-MIBG can be given upfront to reduce large and bulky tumors for subsequent surgery, chemotherapy and autologus bone marrow infusion. In carcinoid and other neuroendocrine tumors therapy with radiolabelled somatostatin analogues appears to be a promising modality. Radiopharmaceutical quality requirements, patient preparation, radiation protection and hospital isolation facilities are important supportive factors to enable adequate radionuclide therapy.</w:t>
                  </w:r>
                </w:p>
                <w:p w:rsidR="00445CA7" w:rsidRDefault="00445CA7" w:rsidP="00E13FB9">
                  <w:pPr>
                    <w:pStyle w:val="NormalWeb"/>
                    <w:framePr w:hSpace="45" w:wrap="around" w:vAnchor="text" w:hAnchor="text"/>
                    <w:jc w:val="both"/>
                    <w:rPr>
                      <w:rFonts w:ascii="Arial" w:hAnsi="Arial" w:cs="Arial"/>
                      <w:sz w:val="20"/>
                      <w:szCs w:val="20"/>
                    </w:rPr>
                  </w:pPr>
                  <w:r>
                    <w:rPr>
                      <w:rStyle w:val="Strong"/>
                      <w:sz w:val="20"/>
                      <w:szCs w:val="20"/>
                    </w:rPr>
                    <w:t>Key words</w:t>
                  </w:r>
                  <w:r>
                    <w:rPr>
                      <w:rFonts w:ascii="Arial" w:hAnsi="Arial" w:cs="Arial"/>
                      <w:sz w:val="20"/>
                      <w:szCs w:val="20"/>
                    </w:rPr>
                    <w:t>: Radionuclide therapy - Endocrine - Neuroendocrine - Tumors</w:t>
                  </w:r>
                </w:p>
              </w:tc>
              <w:tc>
                <w:tcPr>
                  <w:tcW w:w="200" w:type="pct"/>
                  <w:hideMark/>
                </w:tcPr>
                <w:p w:rsidR="00445CA7" w:rsidRDefault="00445CA7" w:rsidP="00E13FB9">
                  <w:pPr>
                    <w:framePr w:hSpace="45" w:wrap="around" w:vAnchor="text" w:hAnchor="text"/>
                    <w:jc w:val="both"/>
                    <w:rPr>
                      <w:sz w:val="24"/>
                      <w:szCs w:val="24"/>
                    </w:rPr>
                  </w:pPr>
                  <w:r>
                    <w:t> </w:t>
                  </w:r>
                </w:p>
              </w:tc>
            </w:tr>
          </w:tbl>
          <w:p w:rsidR="00445CA7" w:rsidRDefault="00445CA7" w:rsidP="00E13FB9">
            <w:pPr>
              <w:jc w:val="both"/>
              <w:rPr>
                <w:sz w:val="24"/>
                <w:szCs w:val="24"/>
              </w:rPr>
            </w:pPr>
          </w:p>
        </w:tc>
      </w:tr>
      <w:tr w:rsidR="00445CA7">
        <w:trPr>
          <w:tblCellSpacing w:w="15" w:type="dxa"/>
        </w:trPr>
        <w:tc>
          <w:tcPr>
            <w:tcW w:w="6900" w:type="dxa"/>
            <w:hideMark/>
          </w:tcPr>
          <w:tbl>
            <w:tblPr>
              <w:tblW w:w="5000" w:type="pct"/>
              <w:tblCellSpacing w:w="15" w:type="dxa"/>
              <w:tblCellMar>
                <w:top w:w="15" w:type="dxa"/>
                <w:left w:w="15" w:type="dxa"/>
                <w:bottom w:w="15" w:type="dxa"/>
                <w:right w:w="15" w:type="dxa"/>
              </w:tblCellMar>
              <w:tblLook w:val="04A0"/>
            </w:tblPr>
            <w:tblGrid>
              <w:gridCol w:w="10425"/>
              <w:gridCol w:w="125"/>
            </w:tblGrid>
            <w:tr w:rsidR="00445CA7">
              <w:trPr>
                <w:tblCellSpacing w:w="15" w:type="dxa"/>
              </w:trPr>
              <w:tc>
                <w:tcPr>
                  <w:tcW w:w="0" w:type="auto"/>
                  <w:vAlign w:val="center"/>
                  <w:hideMark/>
                </w:tcPr>
                <w:p w:rsidR="00445CA7" w:rsidRDefault="00445CA7" w:rsidP="00E13FB9">
                  <w:pPr>
                    <w:pStyle w:val="NormalWeb"/>
                    <w:framePr w:hSpace="45" w:wrap="around" w:vAnchor="text" w:hAnchor="text"/>
                    <w:jc w:val="both"/>
                  </w:pPr>
                  <w:r>
                    <w:t> </w:t>
                  </w:r>
                </w:p>
              </w:tc>
              <w:tc>
                <w:tcPr>
                  <w:tcW w:w="0" w:type="auto"/>
                  <w:vAlign w:val="center"/>
                  <w:hideMark/>
                </w:tcPr>
                <w:p w:rsidR="00445CA7" w:rsidRDefault="00445CA7" w:rsidP="00E13FB9">
                  <w:pPr>
                    <w:framePr w:hSpace="45" w:wrap="around" w:vAnchor="text" w:hAnchor="text"/>
                    <w:jc w:val="both"/>
                    <w:rPr>
                      <w:sz w:val="24"/>
                      <w:szCs w:val="24"/>
                    </w:rPr>
                  </w:pPr>
                  <w:r>
                    <w:t> </w:t>
                  </w:r>
                </w:p>
              </w:tc>
            </w:tr>
            <w:tr w:rsidR="00445CA7">
              <w:trPr>
                <w:tblCellSpacing w:w="15" w:type="dxa"/>
              </w:trPr>
              <w:tc>
                <w:tcPr>
                  <w:tcW w:w="4800" w:type="pct"/>
                  <w:hideMark/>
                </w:tcPr>
                <w:p w:rsidR="00445CA7" w:rsidRDefault="00445CA7" w:rsidP="00E13FB9">
                  <w:pPr>
                    <w:pStyle w:val="NormalWeb"/>
                    <w:framePr w:hSpace="45" w:wrap="around" w:vAnchor="text" w:hAnchor="text"/>
                    <w:jc w:val="both"/>
                  </w:pPr>
                  <w:r>
                    <w:rPr>
                      <w:rFonts w:ascii="Arial" w:hAnsi="Arial" w:cs="Arial"/>
                      <w:b/>
                      <w:bCs/>
                      <w:sz w:val="20"/>
                      <w:szCs w:val="20"/>
                    </w:rPr>
                    <w:t xml:space="preserve">Thyroid Cancer </w:t>
                  </w:r>
                </w:p>
                <w:p w:rsidR="00445CA7" w:rsidRDefault="00445CA7" w:rsidP="00E13FB9">
                  <w:pPr>
                    <w:framePr w:hSpace="45" w:wrap="around" w:vAnchor="text" w:hAnchor="text"/>
                    <w:jc w:val="both"/>
                  </w:pPr>
                </w:p>
                <w:p w:rsidR="00445CA7" w:rsidRDefault="00445CA7" w:rsidP="00E13FB9">
                  <w:pPr>
                    <w:pStyle w:val="NormalWeb"/>
                    <w:framePr w:hSpace="45" w:wrap="around" w:vAnchor="text" w:hAnchor="text"/>
                    <w:jc w:val="both"/>
                    <w:rPr>
                      <w:rFonts w:ascii="Arial" w:hAnsi="Arial" w:cs="Arial"/>
                      <w:sz w:val="20"/>
                      <w:szCs w:val="20"/>
                    </w:rPr>
                  </w:pPr>
                  <w:r>
                    <w:rPr>
                      <w:rStyle w:val="Emphasis"/>
                      <w:rFonts w:ascii="Arial" w:hAnsi="Arial" w:cs="Arial"/>
                      <w:sz w:val="20"/>
                      <w:szCs w:val="20"/>
                      <w:vertAlign w:val="superscript"/>
                    </w:rPr>
                    <w:t>131</w:t>
                  </w:r>
                  <w:r>
                    <w:rPr>
                      <w:rStyle w:val="Emphasis"/>
                      <w:rFonts w:ascii="Arial" w:hAnsi="Arial" w:cs="Arial"/>
                      <w:sz w:val="20"/>
                      <w:szCs w:val="20"/>
                    </w:rPr>
                    <w:t> I therapy of differentiated thyroid carcinoma</w:t>
                  </w:r>
                  <w:r>
                    <w:rPr>
                      <w:rFonts w:ascii="Arial" w:hAnsi="Arial" w:cs="Arial"/>
                      <w:sz w:val="20"/>
                      <w:szCs w:val="20"/>
                    </w:rPr>
                    <w:t xml:space="preserve">. Based on its concentration by thyroid cancer cells </w:t>
                  </w:r>
                  <w:r>
                    <w:rPr>
                      <w:rFonts w:ascii="Arial" w:hAnsi="Arial" w:cs="Arial"/>
                      <w:sz w:val="20"/>
                      <w:szCs w:val="20"/>
                      <w:vertAlign w:val="superscript"/>
                    </w:rPr>
                    <w:t>131</w:t>
                  </w:r>
                  <w:r>
                    <w:rPr>
                      <w:rFonts w:ascii="Arial" w:hAnsi="Arial" w:cs="Arial"/>
                      <w:sz w:val="20"/>
                      <w:szCs w:val="20"/>
                    </w:rPr>
                    <w:t xml:space="preserve">I is used for therapy in patients with papillary and follicular thyroid carcinoma for both ablation of thyroid remnants and treatment of metastases. For ablation </w:t>
                  </w:r>
                  <w:r>
                    <w:rPr>
                      <w:rFonts w:ascii="Arial" w:hAnsi="Arial" w:cs="Arial"/>
                      <w:sz w:val="20"/>
                      <w:szCs w:val="20"/>
                      <w:vertAlign w:val="superscript"/>
                    </w:rPr>
                    <w:t>131</w:t>
                  </w:r>
                  <w:r>
                    <w:rPr>
                      <w:rFonts w:ascii="Arial" w:hAnsi="Arial" w:cs="Arial"/>
                      <w:sz w:val="20"/>
                      <w:szCs w:val="20"/>
                    </w:rPr>
                    <w:t xml:space="preserve">I is usually given in a dosage of 1.85-3.7 GBq (50-100 mCi) 4 to 6 weeks after total or near-total thyroidectomy. For pre-ablation diagnostic </w:t>
                  </w:r>
                  <w:r>
                    <w:rPr>
                      <w:rFonts w:ascii="Arial" w:hAnsi="Arial" w:cs="Arial"/>
                      <w:sz w:val="20"/>
                      <w:szCs w:val="20"/>
                      <w:vertAlign w:val="superscript"/>
                    </w:rPr>
                    <w:t>131</w:t>
                  </w:r>
                  <w:r>
                    <w:rPr>
                      <w:rFonts w:ascii="Arial" w:hAnsi="Arial" w:cs="Arial"/>
                      <w:sz w:val="20"/>
                      <w:szCs w:val="20"/>
                    </w:rPr>
                    <w:t>I scintigraphy low tracer dosages are recommended in order to avoid thyroid tissue stunning (</w:t>
                  </w:r>
                  <w:hyperlink r:id="rId235" w:anchor="1" w:history="1">
                    <w:r>
                      <w:rPr>
                        <w:rStyle w:val="Hyperlink"/>
                        <w:sz w:val="20"/>
                        <w:szCs w:val="20"/>
                      </w:rPr>
                      <w:t>1</w:t>
                    </w:r>
                  </w:hyperlink>
                  <w:r>
                    <w:rPr>
                      <w:rFonts w:ascii="Arial" w:hAnsi="Arial" w:cs="Arial"/>
                      <w:sz w:val="20"/>
                      <w:szCs w:val="20"/>
                    </w:rPr>
                    <w:t xml:space="preserve">). During post-surgery period any thyroid hormone treatment is withheld. Ablation of residual normal thyroid tissue may enable subsequent scintigraphic detection and possibly radionuclide treatment of local or distant metastases, which may not sufficiently concentrate </w:t>
                  </w:r>
                  <w:r>
                    <w:rPr>
                      <w:rFonts w:ascii="Arial" w:hAnsi="Arial" w:cs="Arial"/>
                      <w:sz w:val="20"/>
                      <w:szCs w:val="20"/>
                      <w:vertAlign w:val="superscript"/>
                    </w:rPr>
                    <w:t>131</w:t>
                  </w:r>
                  <w:r>
                    <w:rPr>
                      <w:rFonts w:ascii="Arial" w:hAnsi="Arial" w:cs="Arial"/>
                      <w:sz w:val="20"/>
                      <w:szCs w:val="20"/>
                    </w:rPr>
                    <w:t xml:space="preserve">I in the presence of thyroid remnants. For treatment of metastases </w:t>
                  </w:r>
                  <w:r>
                    <w:rPr>
                      <w:rFonts w:ascii="Arial" w:hAnsi="Arial" w:cs="Arial"/>
                      <w:sz w:val="20"/>
                      <w:szCs w:val="20"/>
                      <w:vertAlign w:val="superscript"/>
                    </w:rPr>
                    <w:t>131</w:t>
                  </w:r>
                  <w:r>
                    <w:rPr>
                      <w:rFonts w:ascii="Arial" w:hAnsi="Arial" w:cs="Arial"/>
                      <w:sz w:val="20"/>
                      <w:szCs w:val="20"/>
                    </w:rPr>
                    <w:t>I is often administered, following TSH stimulation obtained after thyroid hormone withdrawal, in a dosage of 7.4 GBq (200 mCi), which usually may deliver appropriate radiation doses per gram thyroid cancer tissue. Lower dosage is recommended (80-120 mCi) if diffuse lung metastases are present in order to prevent lung fibrosis (</w:t>
                  </w:r>
                  <w:hyperlink r:id="rId236" w:anchor="2" w:history="1">
                    <w:r>
                      <w:rPr>
                        <w:rStyle w:val="Hyperlink"/>
                        <w:sz w:val="20"/>
                        <w:szCs w:val="20"/>
                      </w:rPr>
                      <w:t>2</w:t>
                    </w:r>
                  </w:hyperlink>
                  <w:r>
                    <w:rPr>
                      <w:rFonts w:ascii="Arial" w:hAnsi="Arial" w:cs="Arial"/>
                      <w:sz w:val="20"/>
                      <w:szCs w:val="20"/>
                    </w:rPr>
                    <w:t xml:space="preserve">). The efficacy of </w:t>
                  </w:r>
                  <w:r>
                    <w:rPr>
                      <w:rFonts w:ascii="Arial" w:hAnsi="Arial" w:cs="Arial"/>
                      <w:sz w:val="20"/>
                      <w:szCs w:val="20"/>
                      <w:vertAlign w:val="superscript"/>
                    </w:rPr>
                    <w:t>131</w:t>
                  </w:r>
                  <w:r>
                    <w:rPr>
                      <w:rFonts w:ascii="Arial" w:hAnsi="Arial" w:cs="Arial"/>
                      <w:sz w:val="20"/>
                      <w:szCs w:val="20"/>
                    </w:rPr>
                    <w:t xml:space="preserve">I therapy (Fig. 1) has principally been documented in terms of survival. Patients treated with surgery and </w:t>
                  </w:r>
                  <w:r>
                    <w:rPr>
                      <w:rFonts w:ascii="Arial" w:hAnsi="Arial" w:cs="Arial"/>
                      <w:sz w:val="20"/>
                      <w:szCs w:val="20"/>
                      <w:vertAlign w:val="superscript"/>
                    </w:rPr>
                    <w:t>131</w:t>
                  </w:r>
                  <w:r>
                    <w:rPr>
                      <w:rFonts w:ascii="Arial" w:hAnsi="Arial" w:cs="Arial"/>
                      <w:sz w:val="20"/>
                      <w:szCs w:val="20"/>
                    </w:rPr>
                    <w:t>I appear to have a significantly longer survival than patients treated with surgery alone (</w:t>
                  </w:r>
                  <w:hyperlink r:id="rId237" w:anchor="3" w:history="1">
                    <w:r>
                      <w:rPr>
                        <w:rStyle w:val="Hyperlink"/>
                        <w:sz w:val="20"/>
                        <w:szCs w:val="20"/>
                      </w:rPr>
                      <w:t>3</w:t>
                    </w:r>
                  </w:hyperlink>
                  <w:r>
                    <w:rPr>
                      <w:rFonts w:ascii="Arial" w:hAnsi="Arial" w:cs="Arial"/>
                      <w:sz w:val="20"/>
                      <w:szCs w:val="20"/>
                    </w:rPr>
                    <w:t xml:space="preserve">). A better prognosis has been found for patients with </w:t>
                  </w:r>
                  <w:r>
                    <w:rPr>
                      <w:rFonts w:ascii="Arial" w:hAnsi="Arial" w:cs="Arial"/>
                      <w:sz w:val="20"/>
                      <w:szCs w:val="20"/>
                      <w:vertAlign w:val="superscript"/>
                    </w:rPr>
                    <w:t>131</w:t>
                  </w:r>
                  <w:r>
                    <w:rPr>
                      <w:rFonts w:ascii="Arial" w:hAnsi="Arial" w:cs="Arial"/>
                      <w:sz w:val="20"/>
                      <w:szCs w:val="20"/>
                    </w:rPr>
                    <w:t>I-avid metastases (</w:t>
                  </w:r>
                  <w:hyperlink r:id="rId238" w:anchor="4" w:history="1">
                    <w:r>
                      <w:rPr>
                        <w:rStyle w:val="Hyperlink"/>
                        <w:sz w:val="20"/>
                        <w:szCs w:val="20"/>
                      </w:rPr>
                      <w:t>4</w:t>
                    </w:r>
                  </w:hyperlink>
                  <w:r>
                    <w:rPr>
                      <w:rFonts w:ascii="Arial" w:hAnsi="Arial" w:cs="Arial"/>
                      <w:sz w:val="20"/>
                      <w:szCs w:val="20"/>
                    </w:rPr>
                    <w:t>) and therapy is less effective in bone metastases (</w:t>
                  </w:r>
                  <w:hyperlink r:id="rId239" w:anchor="5" w:history="1">
                    <w:r>
                      <w:rPr>
                        <w:rStyle w:val="Hyperlink"/>
                        <w:sz w:val="20"/>
                        <w:szCs w:val="20"/>
                      </w:rPr>
                      <w:t>5</w:t>
                    </w:r>
                  </w:hyperlink>
                  <w:r>
                    <w:rPr>
                      <w:rFonts w:ascii="Arial" w:hAnsi="Arial" w:cs="Arial"/>
                      <w:sz w:val="20"/>
                      <w:szCs w:val="20"/>
                    </w:rPr>
                    <w:t xml:space="preserve">). In the treatment of bone metastases </w:t>
                  </w:r>
                  <w:r>
                    <w:rPr>
                      <w:rFonts w:ascii="Arial" w:hAnsi="Arial" w:cs="Arial"/>
                      <w:sz w:val="20"/>
                      <w:szCs w:val="20"/>
                      <w:vertAlign w:val="superscript"/>
                    </w:rPr>
                    <w:t>131</w:t>
                  </w:r>
                  <w:r>
                    <w:rPr>
                      <w:rFonts w:ascii="Arial" w:hAnsi="Arial" w:cs="Arial"/>
                      <w:sz w:val="20"/>
                      <w:szCs w:val="20"/>
                    </w:rPr>
                    <w:t>I therapy has been combined with surgery, radiotherapy and more recently with embolization (</w:t>
                  </w:r>
                  <w:hyperlink r:id="rId240" w:anchor="6" w:history="1">
                    <w:r>
                      <w:rPr>
                        <w:rStyle w:val="Hyperlink"/>
                        <w:sz w:val="20"/>
                        <w:szCs w:val="20"/>
                      </w:rPr>
                      <w:t>6</w:t>
                    </w:r>
                  </w:hyperlink>
                  <w:r>
                    <w:rPr>
                      <w:rFonts w:ascii="Arial" w:hAnsi="Arial" w:cs="Arial"/>
                      <w:sz w:val="20"/>
                      <w:szCs w:val="20"/>
                    </w:rPr>
                    <w:t>). Also the combination with surgery is advocated for the treatment of neck recurrences (</w:t>
                  </w:r>
                  <w:hyperlink r:id="rId241" w:anchor="1" w:history="1">
                    <w:r>
                      <w:rPr>
                        <w:rStyle w:val="Hyperlink"/>
                        <w:sz w:val="20"/>
                        <w:szCs w:val="20"/>
                      </w:rPr>
                      <w:t>1</w:t>
                    </w:r>
                  </w:hyperlink>
                  <w:r>
                    <w:rPr>
                      <w:rFonts w:ascii="Arial" w:hAnsi="Arial" w:cs="Arial"/>
                      <w:sz w:val="20"/>
                      <w:szCs w:val="20"/>
                    </w:rPr>
                    <w:t>).</w:t>
                  </w:r>
                </w:p>
                <w:tbl>
                  <w:tblPr>
                    <w:tblW w:w="4000" w:type="pct"/>
                    <w:jc w:val="center"/>
                    <w:tblCellSpacing w:w="15" w:type="dxa"/>
                    <w:tblCellMar>
                      <w:top w:w="30" w:type="dxa"/>
                      <w:left w:w="30" w:type="dxa"/>
                      <w:bottom w:w="30" w:type="dxa"/>
                      <w:right w:w="30" w:type="dxa"/>
                    </w:tblCellMar>
                    <w:tblLook w:val="04A0"/>
                  </w:tblPr>
                  <w:tblGrid>
                    <w:gridCol w:w="8280"/>
                  </w:tblGrid>
                  <w:tr w:rsidR="00445CA7">
                    <w:trPr>
                      <w:tblCellSpacing w:w="15" w:type="dxa"/>
                      <w:jc w:val="center"/>
                    </w:trPr>
                    <w:tc>
                      <w:tcPr>
                        <w:tcW w:w="0" w:type="auto"/>
                        <w:vAlign w:val="center"/>
                        <w:hideMark/>
                      </w:tcPr>
                      <w:p w:rsidR="00445CA7" w:rsidRDefault="00445CA7" w:rsidP="00E13FB9">
                        <w:pPr>
                          <w:framePr w:hSpace="45" w:wrap="around" w:vAnchor="text" w:hAnchor="text"/>
                          <w:jc w:val="both"/>
                        </w:pPr>
                        <w:r>
                          <w:t xml:space="preserve">  </w:t>
                        </w:r>
                      </w:p>
                      <w:p w:rsidR="00445CA7" w:rsidRDefault="00445CA7" w:rsidP="00E13FB9">
                        <w:pPr>
                          <w:pStyle w:val="NormalWeb"/>
                          <w:framePr w:hSpace="45" w:wrap="around" w:vAnchor="text" w:hAnchor="text"/>
                          <w:jc w:val="both"/>
                        </w:pPr>
                        <w:r>
                          <w:rPr>
                            <w:noProof/>
                          </w:rPr>
                          <w:lastRenderedPageBreak/>
                          <w:drawing>
                            <wp:inline distT="0" distB="0" distL="0" distR="0">
                              <wp:extent cx="4257675" cy="5067300"/>
                              <wp:effectExtent l="19050" t="0" r="9525" b="0"/>
                              <wp:docPr id="260" name="Picture 5" descr="http://www.alasbimnjournal.cl/www2/AlasbimnImages/aj18-av-fi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asbimnjournal.cl/www2/AlasbimnImages/aj18-av-fig01.jpg"/>
                                      <pic:cNvPicPr>
                                        <a:picLocks noChangeAspect="1" noChangeArrowheads="1"/>
                                      </pic:cNvPicPr>
                                    </pic:nvPicPr>
                                    <pic:blipFill>
                                      <a:blip r:embed="rId242"/>
                                      <a:srcRect/>
                                      <a:stretch>
                                        <a:fillRect/>
                                      </a:stretch>
                                    </pic:blipFill>
                                    <pic:spPr bwMode="auto">
                                      <a:xfrm>
                                        <a:off x="0" y="0"/>
                                        <a:ext cx="4257675" cy="5067300"/>
                                      </a:xfrm>
                                      <a:prstGeom prst="rect">
                                        <a:avLst/>
                                      </a:prstGeom>
                                      <a:noFill/>
                                      <a:ln w="9525">
                                        <a:noFill/>
                                        <a:miter lim="800000"/>
                                        <a:headEnd/>
                                        <a:tailEnd/>
                                      </a:ln>
                                    </pic:spPr>
                                  </pic:pic>
                                </a:graphicData>
                              </a:graphic>
                            </wp:inline>
                          </w:drawing>
                        </w:r>
                      </w:p>
                    </w:tc>
                  </w:tr>
                  <w:tr w:rsidR="00445CA7">
                    <w:trPr>
                      <w:tblCellSpacing w:w="15" w:type="dxa"/>
                      <w:jc w:val="center"/>
                    </w:trPr>
                    <w:tc>
                      <w:tcPr>
                        <w:tcW w:w="0" w:type="auto"/>
                        <w:vAlign w:val="center"/>
                        <w:hideMark/>
                      </w:tcPr>
                      <w:p w:rsidR="00445CA7" w:rsidRDefault="00445CA7" w:rsidP="00E13FB9">
                        <w:pPr>
                          <w:pStyle w:val="NormalWeb"/>
                          <w:framePr w:hSpace="45" w:wrap="around" w:vAnchor="text" w:hAnchor="text"/>
                          <w:jc w:val="both"/>
                        </w:pPr>
                        <w:r>
                          <w:rPr>
                            <w:rStyle w:val="Strong"/>
                            <w:sz w:val="20"/>
                            <w:szCs w:val="20"/>
                          </w:rPr>
                          <w:lastRenderedPageBreak/>
                          <w:t>Figure 1.</w:t>
                        </w:r>
                        <w:r>
                          <w:rPr>
                            <w:rFonts w:ascii="Arial" w:hAnsi="Arial" w:cs="Arial"/>
                            <w:sz w:val="20"/>
                            <w:szCs w:val="20"/>
                          </w:rPr>
                          <w:t> </w:t>
                        </w:r>
                        <w:r>
                          <w:rPr>
                            <w:rFonts w:ascii="Arial" w:hAnsi="Arial" w:cs="Arial"/>
                            <w:sz w:val="20"/>
                            <w:szCs w:val="20"/>
                            <w:vertAlign w:val="superscript"/>
                          </w:rPr>
                          <w:t>131</w:t>
                        </w:r>
                        <w:r>
                          <w:rPr>
                            <w:rFonts w:ascii="Arial" w:hAnsi="Arial" w:cs="Arial"/>
                            <w:sz w:val="20"/>
                            <w:szCs w:val="20"/>
                          </w:rPr>
                          <w:t xml:space="preserve">I-therapy of liver metastases in a patient with follicular thyroid carcinoma. Initial scintigraphy (A) and CT (B) showing extensive liver metastases with intense </w:t>
                        </w:r>
                        <w:r>
                          <w:rPr>
                            <w:rFonts w:ascii="Arial" w:hAnsi="Arial" w:cs="Arial"/>
                            <w:sz w:val="20"/>
                            <w:szCs w:val="20"/>
                            <w:vertAlign w:val="superscript"/>
                          </w:rPr>
                          <w:t>131</w:t>
                        </w:r>
                        <w:r>
                          <w:rPr>
                            <w:rFonts w:ascii="Arial" w:hAnsi="Arial" w:cs="Arial"/>
                            <w:sz w:val="20"/>
                            <w:szCs w:val="20"/>
                          </w:rPr>
                          <w:t xml:space="preserve">I uptake. After a cumulative dose of 500 mCi </w:t>
                        </w:r>
                        <w:r>
                          <w:rPr>
                            <w:rFonts w:ascii="Arial" w:hAnsi="Arial" w:cs="Arial"/>
                            <w:sz w:val="20"/>
                            <w:szCs w:val="20"/>
                            <w:vertAlign w:val="superscript"/>
                          </w:rPr>
                          <w:t>131</w:t>
                        </w:r>
                        <w:r>
                          <w:rPr>
                            <w:rFonts w:ascii="Arial" w:hAnsi="Arial" w:cs="Arial"/>
                            <w:sz w:val="20"/>
                            <w:szCs w:val="20"/>
                          </w:rPr>
                          <w:t>I a significant reduction is observed (C, D).</w:t>
                        </w:r>
                      </w:p>
                    </w:tc>
                  </w:tr>
                </w:tbl>
                <w:p w:rsidR="00445CA7" w:rsidRDefault="00445CA7" w:rsidP="00E13FB9">
                  <w:pPr>
                    <w:pStyle w:val="NormalWeb"/>
                    <w:framePr w:hSpace="45" w:wrap="around" w:vAnchor="text" w:hAnchor="text"/>
                    <w:jc w:val="both"/>
                    <w:rPr>
                      <w:rFonts w:ascii="Arial" w:hAnsi="Arial" w:cs="Arial"/>
                      <w:sz w:val="20"/>
                      <w:szCs w:val="20"/>
                    </w:rPr>
                  </w:pPr>
                  <w:r>
                    <w:rPr>
                      <w:rStyle w:val="Emphasis"/>
                      <w:rFonts w:ascii="Arial" w:hAnsi="Arial" w:cs="Arial"/>
                      <w:sz w:val="20"/>
                      <w:szCs w:val="20"/>
                    </w:rPr>
                    <w:t xml:space="preserve">Therapy possibilities in </w:t>
                  </w:r>
                  <w:r>
                    <w:rPr>
                      <w:rStyle w:val="Emphasis"/>
                      <w:rFonts w:ascii="Arial" w:hAnsi="Arial" w:cs="Arial"/>
                      <w:sz w:val="20"/>
                      <w:szCs w:val="20"/>
                      <w:vertAlign w:val="superscript"/>
                    </w:rPr>
                    <w:t>131</w:t>
                  </w:r>
                  <w:r>
                    <w:rPr>
                      <w:rStyle w:val="Emphasis"/>
                      <w:rFonts w:ascii="Arial" w:hAnsi="Arial" w:cs="Arial"/>
                      <w:sz w:val="20"/>
                      <w:szCs w:val="20"/>
                    </w:rPr>
                    <w:t>I-non-avid thyroid carcinoma</w:t>
                  </w:r>
                  <w:r>
                    <w:rPr>
                      <w:rFonts w:ascii="Arial" w:hAnsi="Arial" w:cs="Arial"/>
                      <w:sz w:val="20"/>
                      <w:szCs w:val="20"/>
                    </w:rPr>
                    <w:t xml:space="preserve">. Medullary thyroid cancer, Hürthle cell carcinoma, poorly differentiated papillary carcinoma and undifferentiated thyroid carcinoma do not concentrate radioiodine. Also differentiated thyroid carcinoma may loss the ability to concentrate radioiodine during the course of tumor progression. </w:t>
                  </w:r>
                  <w:r>
                    <w:rPr>
                      <w:rFonts w:ascii="Arial" w:hAnsi="Arial" w:cs="Arial"/>
                      <w:sz w:val="20"/>
                      <w:szCs w:val="20"/>
                      <w:vertAlign w:val="superscript"/>
                    </w:rPr>
                    <w:t>131</w:t>
                  </w:r>
                  <w:r>
                    <w:rPr>
                      <w:rFonts w:ascii="Arial" w:hAnsi="Arial" w:cs="Arial"/>
                      <w:sz w:val="20"/>
                      <w:szCs w:val="20"/>
                    </w:rPr>
                    <w:t>I-MIBG has been used for medullary thyroid cancer with objective response in 38% and palliative effect in 50% of the cases. Nevertheless MIBG is concentrated in only 40% of the cases (</w:t>
                  </w:r>
                  <w:hyperlink r:id="rId243" w:anchor="7" w:history="1">
                    <w:r>
                      <w:rPr>
                        <w:rStyle w:val="Hyperlink"/>
                        <w:sz w:val="20"/>
                        <w:szCs w:val="20"/>
                      </w:rPr>
                      <w:t>7</w:t>
                    </w:r>
                  </w:hyperlink>
                  <w:r>
                    <w:rPr>
                      <w:rFonts w:ascii="Arial" w:hAnsi="Arial" w:cs="Arial"/>
                      <w:sz w:val="20"/>
                      <w:szCs w:val="20"/>
                    </w:rPr>
                    <w:t xml:space="preserve">). Recently, radioimmunotherapy (single dosis varying from 40 to 100 mCi) with a bispecific antibody (anti-CEA anti-DTPA F6-734) and </w:t>
                  </w:r>
                  <w:r>
                    <w:rPr>
                      <w:rFonts w:ascii="Arial" w:hAnsi="Arial" w:cs="Arial"/>
                      <w:sz w:val="20"/>
                      <w:szCs w:val="20"/>
                      <w:vertAlign w:val="superscript"/>
                    </w:rPr>
                    <w:t>131</w:t>
                  </w:r>
                  <w:r>
                    <w:rPr>
                      <w:rFonts w:ascii="Arial" w:hAnsi="Arial" w:cs="Arial"/>
                      <w:sz w:val="20"/>
                      <w:szCs w:val="20"/>
                    </w:rPr>
                    <w:t xml:space="preserve">I-labeled bivalent hapten was used in a phase I escalation study. The experimental demonstration of high tissue concentrations of </w:t>
                  </w:r>
                  <w:r>
                    <w:rPr>
                      <w:rFonts w:ascii="Arial" w:hAnsi="Arial" w:cs="Arial"/>
                      <w:sz w:val="20"/>
                      <w:szCs w:val="20"/>
                      <w:vertAlign w:val="superscript"/>
                    </w:rPr>
                    <w:t>111</w:t>
                  </w:r>
                  <w:r>
                    <w:rPr>
                      <w:rFonts w:ascii="Arial" w:hAnsi="Arial" w:cs="Arial"/>
                      <w:sz w:val="20"/>
                      <w:szCs w:val="20"/>
                    </w:rPr>
                    <w:t>In-DTPAOC in Hürthle cell carcinoma (Fig. 2), papillary thyroid carcinoma and medullary thyroid carcinoma (which containing somastotatin receptors subtype sst2, reached the highest octreotide concentration) led to the therapeutic application of radiolabeled octreotide in these malignancies (</w:t>
                  </w:r>
                  <w:hyperlink r:id="rId244" w:anchor="8" w:history="1">
                    <w:r>
                      <w:rPr>
                        <w:rStyle w:val="Hyperlink"/>
                        <w:sz w:val="20"/>
                        <w:szCs w:val="20"/>
                      </w:rPr>
                      <w:t>8</w:t>
                    </w:r>
                  </w:hyperlink>
                  <w:r>
                    <w:rPr>
                      <w:rFonts w:ascii="Arial" w:hAnsi="Arial" w:cs="Arial"/>
                      <w:sz w:val="20"/>
                      <w:szCs w:val="20"/>
                    </w:rPr>
                    <w:t>). In 12 patients with medullary thyroid carcinoma and in 8 with non-</w:t>
                  </w:r>
                  <w:r>
                    <w:rPr>
                      <w:rFonts w:ascii="Arial" w:hAnsi="Arial" w:cs="Arial"/>
                      <w:sz w:val="20"/>
                      <w:szCs w:val="20"/>
                      <w:vertAlign w:val="superscript"/>
                    </w:rPr>
                    <w:t>131</w:t>
                  </w:r>
                  <w:r>
                    <w:rPr>
                      <w:rFonts w:ascii="Arial" w:hAnsi="Arial" w:cs="Arial"/>
                      <w:sz w:val="20"/>
                      <w:szCs w:val="20"/>
                    </w:rPr>
                    <w:t xml:space="preserve">I-concentrating differentiated thyroid carcinoma cumulative dosages of 6-7.4 GBq </w:t>
                  </w:r>
                  <w:r>
                    <w:rPr>
                      <w:rFonts w:ascii="Arial" w:hAnsi="Arial" w:cs="Arial"/>
                      <w:sz w:val="20"/>
                      <w:szCs w:val="20"/>
                      <w:vertAlign w:val="superscript"/>
                    </w:rPr>
                    <w:t>90</w:t>
                  </w:r>
                  <w:r>
                    <w:rPr>
                      <w:rFonts w:ascii="Arial" w:hAnsi="Arial" w:cs="Arial"/>
                      <w:sz w:val="20"/>
                      <w:szCs w:val="20"/>
                    </w:rPr>
                    <w:t>Y-DOTATOC resulted in anti-tumor effect in 35% of the cases (42% for medullary thyroid carcinoma) (</w:t>
                  </w:r>
                  <w:hyperlink r:id="rId245" w:anchor="9" w:history="1">
                    <w:r>
                      <w:rPr>
                        <w:rStyle w:val="Hyperlink"/>
                        <w:sz w:val="20"/>
                        <w:szCs w:val="20"/>
                      </w:rPr>
                      <w:t>9</w:t>
                    </w:r>
                  </w:hyperlink>
                  <w:r>
                    <w:rPr>
                      <w:rFonts w:ascii="Arial" w:hAnsi="Arial" w:cs="Arial"/>
                      <w:sz w:val="20"/>
                      <w:szCs w:val="20"/>
                    </w:rPr>
                    <w:t>). Another approach to treat non-</w:t>
                  </w:r>
                  <w:r>
                    <w:rPr>
                      <w:rFonts w:ascii="Arial" w:hAnsi="Arial" w:cs="Arial"/>
                      <w:sz w:val="20"/>
                      <w:szCs w:val="20"/>
                      <w:vertAlign w:val="superscript"/>
                    </w:rPr>
                    <w:t>131</w:t>
                  </w:r>
                  <w:r>
                    <w:rPr>
                      <w:rFonts w:ascii="Arial" w:hAnsi="Arial" w:cs="Arial"/>
                      <w:sz w:val="20"/>
                      <w:szCs w:val="20"/>
                    </w:rPr>
                    <w:t xml:space="preserve">I-concentrating thyroid cancer is based on the improvement of the uptake of radioiodine in tumor tissue by redifferentiation related to administration of retinoids during two months previously to the use of </w:t>
                  </w:r>
                  <w:r>
                    <w:rPr>
                      <w:rFonts w:ascii="Arial" w:hAnsi="Arial" w:cs="Arial"/>
                      <w:sz w:val="20"/>
                      <w:szCs w:val="20"/>
                      <w:vertAlign w:val="superscript"/>
                    </w:rPr>
                    <w:t>131</w:t>
                  </w:r>
                  <w:r>
                    <w:rPr>
                      <w:rFonts w:ascii="Arial" w:hAnsi="Arial" w:cs="Arial"/>
                      <w:sz w:val="20"/>
                      <w:szCs w:val="20"/>
                    </w:rPr>
                    <w:t>I (</w:t>
                  </w:r>
                  <w:hyperlink r:id="rId246" w:anchor="10" w:history="1">
                    <w:r>
                      <w:rPr>
                        <w:rStyle w:val="Hyperlink"/>
                        <w:sz w:val="20"/>
                        <w:szCs w:val="20"/>
                      </w:rPr>
                      <w:t>10</w:t>
                    </w:r>
                  </w:hyperlink>
                  <w:r>
                    <w:rPr>
                      <w:rFonts w:ascii="Arial" w:hAnsi="Arial" w:cs="Arial"/>
                      <w:sz w:val="20"/>
                      <w:szCs w:val="20"/>
                    </w:rPr>
                    <w:t>).</w:t>
                  </w:r>
                </w:p>
                <w:tbl>
                  <w:tblPr>
                    <w:tblW w:w="10350" w:type="dxa"/>
                    <w:jc w:val="center"/>
                    <w:tblCellSpacing w:w="15" w:type="dxa"/>
                    <w:tblCellMar>
                      <w:top w:w="30" w:type="dxa"/>
                      <w:left w:w="30" w:type="dxa"/>
                      <w:bottom w:w="30" w:type="dxa"/>
                      <w:right w:w="30" w:type="dxa"/>
                    </w:tblCellMar>
                    <w:tblLook w:val="04A0"/>
                  </w:tblPr>
                  <w:tblGrid>
                    <w:gridCol w:w="10350"/>
                  </w:tblGrid>
                  <w:tr w:rsidR="00445CA7" w:rsidTr="00E13FB9">
                    <w:trPr>
                      <w:tblCellSpacing w:w="15" w:type="dxa"/>
                      <w:jc w:val="center"/>
                    </w:trPr>
                    <w:tc>
                      <w:tcPr>
                        <w:tcW w:w="4971" w:type="pct"/>
                        <w:vAlign w:val="center"/>
                        <w:hideMark/>
                      </w:tcPr>
                      <w:p w:rsidR="00445CA7" w:rsidRDefault="00445CA7" w:rsidP="00E13FB9">
                        <w:pPr>
                          <w:framePr w:hSpace="45" w:wrap="around" w:vAnchor="text" w:hAnchor="text"/>
                          <w:jc w:val="both"/>
                        </w:pPr>
                        <w:r>
                          <w:t xml:space="preserve">  </w:t>
                        </w:r>
                      </w:p>
                      <w:p w:rsidR="00445CA7" w:rsidRDefault="00445CA7" w:rsidP="00E13FB9">
                        <w:pPr>
                          <w:pStyle w:val="NormalWeb"/>
                          <w:framePr w:hSpace="45" w:wrap="around" w:vAnchor="text" w:hAnchor="text"/>
                          <w:jc w:val="both"/>
                        </w:pPr>
                        <w:r>
                          <w:rPr>
                            <w:noProof/>
                          </w:rPr>
                          <w:lastRenderedPageBreak/>
                          <w:drawing>
                            <wp:inline distT="0" distB="0" distL="0" distR="0">
                              <wp:extent cx="4152900" cy="4867275"/>
                              <wp:effectExtent l="19050" t="0" r="0" b="0"/>
                              <wp:docPr id="259" name="Picture 6" descr="http://www.alasbimnjournal.cl/www2/AlasbimnImages/aj18-av-fi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asbimnjournal.cl/www2/AlasbimnImages/aj18-av-fig02.jpg"/>
                                      <pic:cNvPicPr>
                                        <a:picLocks noChangeAspect="1" noChangeArrowheads="1"/>
                                      </pic:cNvPicPr>
                                    </pic:nvPicPr>
                                    <pic:blipFill>
                                      <a:blip r:embed="rId247"/>
                                      <a:srcRect/>
                                      <a:stretch>
                                        <a:fillRect/>
                                      </a:stretch>
                                    </pic:blipFill>
                                    <pic:spPr bwMode="auto">
                                      <a:xfrm>
                                        <a:off x="0" y="0"/>
                                        <a:ext cx="4152900" cy="4867275"/>
                                      </a:xfrm>
                                      <a:prstGeom prst="rect">
                                        <a:avLst/>
                                      </a:prstGeom>
                                      <a:noFill/>
                                      <a:ln w="9525">
                                        <a:noFill/>
                                        <a:miter lim="800000"/>
                                        <a:headEnd/>
                                        <a:tailEnd/>
                                      </a:ln>
                                    </pic:spPr>
                                  </pic:pic>
                                </a:graphicData>
                              </a:graphic>
                            </wp:inline>
                          </w:drawing>
                        </w:r>
                      </w:p>
                    </w:tc>
                  </w:tr>
                  <w:tr w:rsidR="00445CA7" w:rsidTr="00E13FB9">
                    <w:trPr>
                      <w:tblCellSpacing w:w="15" w:type="dxa"/>
                      <w:jc w:val="center"/>
                    </w:trPr>
                    <w:tc>
                      <w:tcPr>
                        <w:tcW w:w="4971" w:type="pct"/>
                        <w:vAlign w:val="center"/>
                        <w:hideMark/>
                      </w:tcPr>
                      <w:p w:rsidR="00445CA7" w:rsidRDefault="00445CA7" w:rsidP="00E13FB9">
                        <w:pPr>
                          <w:pStyle w:val="NormalWeb"/>
                          <w:framePr w:hSpace="45" w:wrap="around" w:vAnchor="text" w:hAnchor="text"/>
                          <w:jc w:val="both"/>
                        </w:pPr>
                        <w:r>
                          <w:rPr>
                            <w:rStyle w:val="Strong"/>
                            <w:sz w:val="20"/>
                            <w:szCs w:val="20"/>
                          </w:rPr>
                          <w:lastRenderedPageBreak/>
                          <w:t>Figure 2.</w:t>
                        </w:r>
                        <w:r>
                          <w:rPr>
                            <w:rFonts w:ascii="Arial" w:hAnsi="Arial" w:cs="Arial"/>
                            <w:sz w:val="20"/>
                            <w:szCs w:val="20"/>
                          </w:rPr>
                          <w:t xml:space="preserve"> Total body anterior images with </w:t>
                        </w:r>
                        <w:r>
                          <w:rPr>
                            <w:rFonts w:ascii="Arial" w:hAnsi="Arial" w:cs="Arial"/>
                            <w:sz w:val="20"/>
                            <w:szCs w:val="20"/>
                            <w:vertAlign w:val="superscript"/>
                          </w:rPr>
                          <w:t>131</w:t>
                        </w:r>
                        <w:r>
                          <w:rPr>
                            <w:rFonts w:ascii="Arial" w:hAnsi="Arial" w:cs="Arial"/>
                            <w:sz w:val="20"/>
                            <w:szCs w:val="20"/>
                          </w:rPr>
                          <w:t xml:space="preserve">I (A) and </w:t>
                        </w:r>
                        <w:r>
                          <w:rPr>
                            <w:rFonts w:ascii="Arial" w:hAnsi="Arial" w:cs="Arial"/>
                            <w:sz w:val="20"/>
                            <w:szCs w:val="20"/>
                            <w:vertAlign w:val="superscript"/>
                          </w:rPr>
                          <w:t>111</w:t>
                        </w:r>
                        <w:r>
                          <w:rPr>
                            <w:rFonts w:ascii="Arial" w:hAnsi="Arial" w:cs="Arial"/>
                            <w:sz w:val="20"/>
                            <w:szCs w:val="20"/>
                          </w:rPr>
                          <w:t xml:space="preserve">In-octreotide (B) of a patient with multiple metastases of a Hürthle cell carcinoma of the thyroid. Note that metastases do not concentrate radioiodine. By contrast uptake of </w:t>
                        </w:r>
                        <w:r>
                          <w:rPr>
                            <w:rFonts w:ascii="Arial" w:hAnsi="Arial" w:cs="Arial"/>
                            <w:sz w:val="20"/>
                            <w:szCs w:val="20"/>
                            <w:vertAlign w:val="superscript"/>
                          </w:rPr>
                          <w:t>111</w:t>
                        </w:r>
                        <w:r>
                          <w:rPr>
                            <w:rFonts w:ascii="Arial" w:hAnsi="Arial" w:cs="Arial"/>
                            <w:sz w:val="20"/>
                            <w:szCs w:val="20"/>
                          </w:rPr>
                          <w:t>In-octreotide in tumor sites is intense</w:t>
                        </w:r>
                      </w:p>
                    </w:tc>
                  </w:tr>
                </w:tbl>
                <w:p w:rsidR="00445CA7" w:rsidRDefault="00445CA7" w:rsidP="00E13FB9">
                  <w:pPr>
                    <w:framePr w:hSpace="45" w:wrap="around" w:vAnchor="text" w:hAnchor="text"/>
                    <w:jc w:val="both"/>
                    <w:rPr>
                      <w:sz w:val="24"/>
                      <w:szCs w:val="24"/>
                    </w:rPr>
                  </w:pPr>
                </w:p>
              </w:tc>
              <w:tc>
                <w:tcPr>
                  <w:tcW w:w="200" w:type="pct"/>
                  <w:hideMark/>
                </w:tcPr>
                <w:p w:rsidR="00445CA7" w:rsidRDefault="00445CA7" w:rsidP="00E13FB9">
                  <w:pPr>
                    <w:framePr w:hSpace="45" w:wrap="around" w:vAnchor="text" w:hAnchor="text"/>
                    <w:jc w:val="both"/>
                    <w:rPr>
                      <w:sz w:val="24"/>
                      <w:szCs w:val="24"/>
                    </w:rPr>
                  </w:pPr>
                  <w:r>
                    <w:lastRenderedPageBreak/>
                    <w:t> </w:t>
                  </w:r>
                </w:p>
              </w:tc>
            </w:tr>
          </w:tbl>
          <w:p w:rsidR="00445CA7" w:rsidRDefault="00445CA7" w:rsidP="00E13FB9">
            <w:pPr>
              <w:jc w:val="both"/>
              <w:rPr>
                <w:sz w:val="24"/>
                <w:szCs w:val="24"/>
              </w:rPr>
            </w:pPr>
          </w:p>
        </w:tc>
      </w:tr>
      <w:tr w:rsidR="00445CA7">
        <w:trPr>
          <w:tblCellSpacing w:w="15" w:type="dxa"/>
        </w:trPr>
        <w:tc>
          <w:tcPr>
            <w:tcW w:w="6900" w:type="dxa"/>
            <w:hideMark/>
          </w:tcPr>
          <w:tbl>
            <w:tblPr>
              <w:tblW w:w="5000" w:type="pct"/>
              <w:tblCellSpacing w:w="15" w:type="dxa"/>
              <w:tblCellMar>
                <w:top w:w="15" w:type="dxa"/>
                <w:left w:w="15" w:type="dxa"/>
                <w:bottom w:w="15" w:type="dxa"/>
                <w:right w:w="15" w:type="dxa"/>
              </w:tblCellMar>
              <w:tblLook w:val="04A0"/>
            </w:tblPr>
            <w:tblGrid>
              <w:gridCol w:w="10087"/>
              <w:gridCol w:w="463"/>
            </w:tblGrid>
            <w:tr w:rsidR="00445CA7">
              <w:trPr>
                <w:tblCellSpacing w:w="15" w:type="dxa"/>
              </w:trPr>
              <w:tc>
                <w:tcPr>
                  <w:tcW w:w="0" w:type="auto"/>
                  <w:vAlign w:val="center"/>
                  <w:hideMark/>
                </w:tcPr>
                <w:p w:rsidR="00445CA7" w:rsidRDefault="00445CA7" w:rsidP="00E13FB9">
                  <w:pPr>
                    <w:pStyle w:val="NormalWeb"/>
                    <w:framePr w:hSpace="45" w:wrap="around" w:vAnchor="text" w:hAnchor="text"/>
                    <w:jc w:val="both"/>
                  </w:pPr>
                  <w:r>
                    <w:lastRenderedPageBreak/>
                    <w:t> </w:t>
                  </w:r>
                </w:p>
              </w:tc>
              <w:tc>
                <w:tcPr>
                  <w:tcW w:w="0" w:type="auto"/>
                  <w:vAlign w:val="center"/>
                  <w:hideMark/>
                </w:tcPr>
                <w:p w:rsidR="00445CA7" w:rsidRDefault="00445CA7" w:rsidP="00E13FB9">
                  <w:pPr>
                    <w:framePr w:hSpace="45" w:wrap="around" w:vAnchor="text" w:hAnchor="text"/>
                    <w:jc w:val="both"/>
                    <w:rPr>
                      <w:sz w:val="24"/>
                      <w:szCs w:val="24"/>
                    </w:rPr>
                  </w:pPr>
                  <w:r>
                    <w:t> </w:t>
                  </w:r>
                </w:p>
              </w:tc>
            </w:tr>
            <w:tr w:rsidR="00445CA7">
              <w:trPr>
                <w:tblCellSpacing w:w="15" w:type="dxa"/>
              </w:trPr>
              <w:tc>
                <w:tcPr>
                  <w:tcW w:w="4800" w:type="pct"/>
                  <w:hideMark/>
                </w:tcPr>
                <w:p w:rsidR="00445CA7" w:rsidRDefault="00445CA7" w:rsidP="00E13FB9">
                  <w:pPr>
                    <w:pStyle w:val="NormalWeb"/>
                    <w:framePr w:hSpace="45" w:wrap="around" w:vAnchor="text" w:hAnchor="text"/>
                    <w:jc w:val="both"/>
                  </w:pPr>
                  <w:r>
                    <w:rPr>
                      <w:rFonts w:ascii="Arial" w:hAnsi="Arial" w:cs="Arial"/>
                      <w:b/>
                      <w:bCs/>
                      <w:sz w:val="20"/>
                      <w:szCs w:val="20"/>
                    </w:rPr>
                    <w:t xml:space="preserve">Neuroblastoma </w:t>
                  </w:r>
                </w:p>
                <w:p w:rsidR="00445CA7" w:rsidRDefault="00445CA7" w:rsidP="00E13FB9">
                  <w:pPr>
                    <w:framePr w:hSpace="45" w:wrap="around" w:vAnchor="text" w:hAnchor="text"/>
                    <w:jc w:val="both"/>
                  </w:pPr>
                </w:p>
                <w:p w:rsidR="00445CA7" w:rsidRDefault="00445CA7" w:rsidP="00E13FB9">
                  <w:pPr>
                    <w:pStyle w:val="NormalWeb"/>
                    <w:framePr w:hSpace="45" w:wrap="around" w:vAnchor="text" w:hAnchor="text"/>
                    <w:jc w:val="both"/>
                    <w:rPr>
                      <w:rFonts w:ascii="Arial" w:hAnsi="Arial" w:cs="Arial"/>
                      <w:sz w:val="20"/>
                      <w:szCs w:val="20"/>
                    </w:rPr>
                  </w:pPr>
                  <w:r>
                    <w:rPr>
                      <w:rStyle w:val="Emphasis"/>
                      <w:rFonts w:ascii="Arial" w:hAnsi="Arial" w:cs="Arial"/>
                      <w:sz w:val="20"/>
                      <w:szCs w:val="20"/>
                      <w:vertAlign w:val="superscript"/>
                    </w:rPr>
                    <w:t>131</w:t>
                  </w:r>
                  <w:r>
                    <w:rPr>
                      <w:rStyle w:val="Emphasis"/>
                      <w:rFonts w:ascii="Arial" w:hAnsi="Arial" w:cs="Arial"/>
                      <w:sz w:val="20"/>
                      <w:szCs w:val="20"/>
                    </w:rPr>
                    <w:t>I-MIBG as first-line.</w:t>
                  </w:r>
                  <w:r>
                    <w:rPr>
                      <w:rFonts w:ascii="Arial" w:hAnsi="Arial" w:cs="Arial"/>
                      <w:sz w:val="20"/>
                      <w:szCs w:val="20"/>
                    </w:rPr>
                    <w:t xml:space="preserve"> </w:t>
                  </w:r>
                  <w:r>
                    <w:rPr>
                      <w:rFonts w:ascii="Arial" w:hAnsi="Arial" w:cs="Arial"/>
                      <w:sz w:val="20"/>
                      <w:szCs w:val="20"/>
                      <w:vertAlign w:val="superscript"/>
                    </w:rPr>
                    <w:t>131</w:t>
                  </w:r>
                  <w:r>
                    <w:rPr>
                      <w:rFonts w:ascii="Arial" w:hAnsi="Arial" w:cs="Arial"/>
                      <w:sz w:val="20"/>
                      <w:szCs w:val="20"/>
                    </w:rPr>
                    <w:t>I-MIBG treatment can be given upfront to reduce large and bulky tumors in order to enable surgery to remove the primary tumor. This induction therapy is followed by chemotherapy, ablative chemotherapy and autologus bone marrow infusion. In 54 patients with stage III or IV objective response was observed in 82% after a first dosage of 7.4 GBq followed by 3.7 GBq every four weeks (range 2-5 cycles). Thrombocytopenia was seen in 37%. The condition of the patients improved dramatically, as is expressed by relief of pain within 24 to 48 after first dose, and weight gain of 3-11% (</w:t>
                  </w:r>
                  <w:hyperlink r:id="rId248" w:anchor="11" w:history="1">
                    <w:r>
                      <w:rPr>
                        <w:rStyle w:val="Hyperlink"/>
                        <w:sz w:val="20"/>
                        <w:szCs w:val="20"/>
                      </w:rPr>
                      <w:t>11</w:t>
                    </w:r>
                  </w:hyperlink>
                  <w:r>
                    <w:rPr>
                      <w:rFonts w:ascii="Arial" w:hAnsi="Arial" w:cs="Arial"/>
                      <w:sz w:val="20"/>
                      <w:szCs w:val="20"/>
                    </w:rPr>
                    <w:t>). Five-year-survival after completion of treatment was 37%. In high-risk neuroblastoma </w:t>
                  </w:r>
                  <w:r>
                    <w:rPr>
                      <w:rFonts w:ascii="Arial" w:hAnsi="Arial" w:cs="Arial"/>
                      <w:sz w:val="20"/>
                      <w:szCs w:val="20"/>
                      <w:vertAlign w:val="superscript"/>
                    </w:rPr>
                    <w:t>131</w:t>
                  </w:r>
                  <w:r>
                    <w:rPr>
                      <w:rFonts w:ascii="Arial" w:hAnsi="Arial" w:cs="Arial"/>
                      <w:sz w:val="20"/>
                      <w:szCs w:val="20"/>
                    </w:rPr>
                    <w:t>I-MIBG is being combined with other compounds such as Topotecan (</w:t>
                  </w:r>
                  <w:hyperlink r:id="rId249" w:anchor="12" w:history="1">
                    <w:r>
                      <w:rPr>
                        <w:rStyle w:val="Hyperlink"/>
                        <w:sz w:val="20"/>
                        <w:szCs w:val="20"/>
                      </w:rPr>
                      <w:t>12</w:t>
                    </w:r>
                  </w:hyperlink>
                  <w:r>
                    <w:rPr>
                      <w:rFonts w:ascii="Arial" w:hAnsi="Arial" w:cs="Arial"/>
                      <w:sz w:val="20"/>
                      <w:szCs w:val="20"/>
                    </w:rPr>
                    <w:t>).</w:t>
                  </w:r>
                </w:p>
                <w:p w:rsidR="00445CA7" w:rsidRDefault="00445CA7" w:rsidP="00E13FB9">
                  <w:pPr>
                    <w:pStyle w:val="NormalWeb"/>
                    <w:framePr w:hSpace="45" w:wrap="around" w:vAnchor="text" w:hAnchor="text"/>
                    <w:jc w:val="both"/>
                    <w:rPr>
                      <w:rFonts w:ascii="Arial" w:hAnsi="Arial" w:cs="Arial"/>
                      <w:sz w:val="20"/>
                      <w:szCs w:val="20"/>
                    </w:rPr>
                  </w:pPr>
                  <w:r>
                    <w:rPr>
                      <w:rStyle w:val="Emphasis"/>
                      <w:rFonts w:ascii="Arial" w:hAnsi="Arial" w:cs="Arial"/>
                      <w:sz w:val="20"/>
                      <w:szCs w:val="20"/>
                      <w:vertAlign w:val="superscript"/>
                    </w:rPr>
                    <w:t> 131</w:t>
                  </w:r>
                  <w:r>
                    <w:rPr>
                      <w:rStyle w:val="Emphasis"/>
                      <w:rFonts w:ascii="Arial" w:hAnsi="Arial" w:cs="Arial"/>
                      <w:sz w:val="20"/>
                      <w:szCs w:val="20"/>
                    </w:rPr>
                    <w:t>I-MIBG in recurrent neuroblastoma</w:t>
                  </w:r>
                  <w:r>
                    <w:rPr>
                      <w:rFonts w:ascii="Arial" w:hAnsi="Arial" w:cs="Arial"/>
                      <w:sz w:val="20"/>
                      <w:szCs w:val="20"/>
                    </w:rPr>
                    <w:t xml:space="preserve">. The first experience with </w:t>
                  </w:r>
                  <w:r>
                    <w:rPr>
                      <w:rFonts w:ascii="Arial" w:hAnsi="Arial" w:cs="Arial"/>
                      <w:sz w:val="20"/>
                      <w:szCs w:val="20"/>
                      <w:vertAlign w:val="superscript"/>
                    </w:rPr>
                    <w:t>131</w:t>
                  </w:r>
                  <w:r>
                    <w:rPr>
                      <w:rFonts w:ascii="Arial" w:hAnsi="Arial" w:cs="Arial"/>
                      <w:sz w:val="20"/>
                      <w:szCs w:val="20"/>
                    </w:rPr>
                    <w:t>I-MIBG in patients with recurrent neuroblastoma after previous treatment with chemotherapy or high dose chemotherapy combined with stem cell rescue, led to palliation as well as temporarily complete remissions and life prolongation in a considerable number of them (</w:t>
                  </w:r>
                  <w:hyperlink r:id="rId250" w:anchor="13" w:history="1">
                    <w:r>
                      <w:rPr>
                        <w:rStyle w:val="Hyperlink"/>
                        <w:sz w:val="20"/>
                        <w:szCs w:val="20"/>
                      </w:rPr>
                      <w:t>13</w:t>
                    </w:r>
                  </w:hyperlink>
                  <w:r>
                    <w:rPr>
                      <w:rFonts w:ascii="Arial" w:hAnsi="Arial" w:cs="Arial"/>
                      <w:sz w:val="20"/>
                      <w:szCs w:val="20"/>
                    </w:rPr>
                    <w:t xml:space="preserve">). Thrombocytopenia was seen in 82% especially in patients pre-treated with platinum. The </w:t>
                  </w:r>
                  <w:r>
                    <w:rPr>
                      <w:rFonts w:ascii="Arial" w:hAnsi="Arial" w:cs="Arial"/>
                      <w:sz w:val="20"/>
                      <w:szCs w:val="20"/>
                    </w:rPr>
                    <w:lastRenderedPageBreak/>
                    <w:t xml:space="preserve">addition of hyperbaric oxygen (Fig. 3) led to an increase in 2-year survival in comparison with </w:t>
                  </w:r>
                  <w:r>
                    <w:rPr>
                      <w:rFonts w:ascii="Arial" w:hAnsi="Arial" w:cs="Arial"/>
                      <w:sz w:val="20"/>
                      <w:szCs w:val="20"/>
                      <w:vertAlign w:val="superscript"/>
                    </w:rPr>
                    <w:t>131</w:t>
                  </w:r>
                  <w:r>
                    <w:rPr>
                      <w:rFonts w:ascii="Arial" w:hAnsi="Arial" w:cs="Arial"/>
                      <w:sz w:val="20"/>
                      <w:szCs w:val="20"/>
                    </w:rPr>
                    <w:t>I-MIBG alone (</w:t>
                  </w:r>
                  <w:hyperlink r:id="rId251" w:anchor="14" w:history="1">
                    <w:r>
                      <w:rPr>
                        <w:rStyle w:val="Hyperlink"/>
                        <w:sz w:val="20"/>
                        <w:szCs w:val="20"/>
                      </w:rPr>
                      <w:t>14</w:t>
                    </w:r>
                  </w:hyperlink>
                  <w:r>
                    <w:rPr>
                      <w:rFonts w:ascii="Arial" w:hAnsi="Arial" w:cs="Arial"/>
                      <w:sz w:val="20"/>
                      <w:szCs w:val="20"/>
                    </w:rPr>
                    <w:t xml:space="preserve">). Recently vitamin C has been added to the </w:t>
                  </w:r>
                  <w:r>
                    <w:rPr>
                      <w:rFonts w:ascii="Arial" w:hAnsi="Arial" w:cs="Arial"/>
                      <w:sz w:val="20"/>
                      <w:szCs w:val="20"/>
                      <w:vertAlign w:val="superscript"/>
                    </w:rPr>
                    <w:t>131</w:t>
                  </w:r>
                  <w:r>
                    <w:rPr>
                      <w:rFonts w:ascii="Arial" w:hAnsi="Arial" w:cs="Arial"/>
                      <w:sz w:val="20"/>
                      <w:szCs w:val="20"/>
                    </w:rPr>
                    <w:t>I-MIBG/hyperbaric oxygen schedule. Neuroblastoma contains high levels of ferritin (an iron binding protein) and addition of vitamin C may cause extensive free radical related damage within neuroblastoma cells.</w:t>
                  </w:r>
                </w:p>
                <w:tbl>
                  <w:tblPr>
                    <w:tblW w:w="4000" w:type="pct"/>
                    <w:jc w:val="center"/>
                    <w:tblCellSpacing w:w="15" w:type="dxa"/>
                    <w:tblCellMar>
                      <w:top w:w="30" w:type="dxa"/>
                      <w:left w:w="30" w:type="dxa"/>
                      <w:bottom w:w="30" w:type="dxa"/>
                      <w:right w:w="30" w:type="dxa"/>
                    </w:tblCellMar>
                    <w:tblLook w:val="04A0"/>
                  </w:tblPr>
                  <w:tblGrid>
                    <w:gridCol w:w="8010"/>
                  </w:tblGrid>
                  <w:tr w:rsidR="00445CA7">
                    <w:trPr>
                      <w:tblCellSpacing w:w="15" w:type="dxa"/>
                      <w:jc w:val="center"/>
                    </w:trPr>
                    <w:tc>
                      <w:tcPr>
                        <w:tcW w:w="0" w:type="auto"/>
                        <w:vAlign w:val="center"/>
                        <w:hideMark/>
                      </w:tcPr>
                      <w:p w:rsidR="00445CA7" w:rsidRDefault="00445CA7" w:rsidP="00E13FB9">
                        <w:pPr>
                          <w:framePr w:hSpace="45" w:wrap="around" w:vAnchor="text" w:hAnchor="text"/>
                          <w:jc w:val="both"/>
                        </w:pPr>
                        <w:r>
                          <w:t xml:space="preserve">  </w:t>
                        </w:r>
                      </w:p>
                      <w:p w:rsidR="00445CA7" w:rsidRDefault="00445CA7" w:rsidP="00E13FB9">
                        <w:pPr>
                          <w:pStyle w:val="NormalWeb"/>
                          <w:framePr w:hSpace="45" w:wrap="around" w:vAnchor="text" w:hAnchor="text"/>
                          <w:jc w:val="both"/>
                        </w:pPr>
                        <w:r>
                          <w:rPr>
                            <w:noProof/>
                          </w:rPr>
                          <w:drawing>
                            <wp:inline distT="0" distB="0" distL="0" distR="0">
                              <wp:extent cx="3867150" cy="4905375"/>
                              <wp:effectExtent l="19050" t="0" r="0" b="0"/>
                              <wp:docPr id="258" name="Picture 7" descr="http://www.alasbimnjournal.cl/www2/AlasbimnImages/aj18-av-fig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asbimnjournal.cl/www2/AlasbimnImages/aj18-av-fig03.jpg"/>
                                      <pic:cNvPicPr>
                                        <a:picLocks noChangeAspect="1" noChangeArrowheads="1"/>
                                      </pic:cNvPicPr>
                                    </pic:nvPicPr>
                                    <pic:blipFill>
                                      <a:blip r:embed="rId252"/>
                                      <a:srcRect/>
                                      <a:stretch>
                                        <a:fillRect/>
                                      </a:stretch>
                                    </pic:blipFill>
                                    <pic:spPr bwMode="auto">
                                      <a:xfrm>
                                        <a:off x="0" y="0"/>
                                        <a:ext cx="3867150" cy="4905375"/>
                                      </a:xfrm>
                                      <a:prstGeom prst="rect">
                                        <a:avLst/>
                                      </a:prstGeom>
                                      <a:noFill/>
                                      <a:ln w="9525">
                                        <a:noFill/>
                                        <a:miter lim="800000"/>
                                        <a:headEnd/>
                                        <a:tailEnd/>
                                      </a:ln>
                                    </pic:spPr>
                                  </pic:pic>
                                </a:graphicData>
                              </a:graphic>
                            </wp:inline>
                          </w:drawing>
                        </w:r>
                      </w:p>
                    </w:tc>
                  </w:tr>
                  <w:tr w:rsidR="00445CA7">
                    <w:trPr>
                      <w:tblCellSpacing w:w="15" w:type="dxa"/>
                      <w:jc w:val="center"/>
                    </w:trPr>
                    <w:tc>
                      <w:tcPr>
                        <w:tcW w:w="0" w:type="auto"/>
                        <w:vAlign w:val="center"/>
                        <w:hideMark/>
                      </w:tcPr>
                      <w:p w:rsidR="00445CA7" w:rsidRDefault="00445CA7" w:rsidP="00E13FB9">
                        <w:pPr>
                          <w:pStyle w:val="NormalWeb"/>
                          <w:framePr w:hSpace="45" w:wrap="around" w:vAnchor="text" w:hAnchor="text"/>
                          <w:jc w:val="both"/>
                        </w:pPr>
                        <w:r>
                          <w:rPr>
                            <w:rStyle w:val="Strong"/>
                            <w:sz w:val="20"/>
                            <w:szCs w:val="20"/>
                          </w:rPr>
                          <w:t>Figure 3.</w:t>
                        </w:r>
                        <w:r>
                          <w:rPr>
                            <w:rFonts w:ascii="Arial" w:hAnsi="Arial" w:cs="Arial"/>
                            <w:sz w:val="20"/>
                            <w:szCs w:val="20"/>
                          </w:rPr>
                          <w:t xml:space="preserve"> (A) Scintigraphy at initial </w:t>
                        </w:r>
                        <w:r>
                          <w:rPr>
                            <w:rFonts w:ascii="Arial" w:hAnsi="Arial" w:cs="Arial"/>
                            <w:sz w:val="20"/>
                            <w:szCs w:val="20"/>
                            <w:vertAlign w:val="superscript"/>
                          </w:rPr>
                          <w:t>131</w:t>
                        </w:r>
                        <w:r>
                          <w:rPr>
                            <w:rFonts w:ascii="Arial" w:hAnsi="Arial" w:cs="Arial"/>
                            <w:sz w:val="20"/>
                            <w:szCs w:val="20"/>
                          </w:rPr>
                          <w:t xml:space="preserve">I-MIBG treatment showing extensive bone metastases of neuroblastoma. (B) After treatment with three </w:t>
                        </w:r>
                        <w:r>
                          <w:rPr>
                            <w:rFonts w:ascii="Arial" w:hAnsi="Arial" w:cs="Arial"/>
                            <w:sz w:val="20"/>
                            <w:szCs w:val="20"/>
                            <w:vertAlign w:val="superscript"/>
                          </w:rPr>
                          <w:t>131</w:t>
                        </w:r>
                        <w:r>
                          <w:rPr>
                            <w:rFonts w:ascii="Arial" w:hAnsi="Arial" w:cs="Arial"/>
                            <w:sz w:val="20"/>
                            <w:szCs w:val="20"/>
                          </w:rPr>
                          <w:t>I-MIBG cycles (cumulative dose: 400 mCi) and hyperbaryc oxygen a significant reduction in tumor sites is observed.</w:t>
                        </w:r>
                      </w:p>
                    </w:tc>
                  </w:tr>
                </w:tbl>
                <w:p w:rsidR="00445CA7" w:rsidRDefault="00445CA7" w:rsidP="00E13FB9">
                  <w:pPr>
                    <w:pStyle w:val="NormalWeb"/>
                    <w:framePr w:hSpace="45" w:wrap="around" w:vAnchor="text" w:hAnchor="text"/>
                    <w:jc w:val="both"/>
                    <w:rPr>
                      <w:rFonts w:ascii="Arial" w:hAnsi="Arial" w:cs="Arial"/>
                      <w:sz w:val="20"/>
                      <w:szCs w:val="20"/>
                    </w:rPr>
                  </w:pPr>
                  <w:r>
                    <w:rPr>
                      <w:rFonts w:ascii="Arial" w:hAnsi="Arial" w:cs="Arial"/>
                      <w:sz w:val="20"/>
                      <w:szCs w:val="20"/>
                      <w:vertAlign w:val="superscript"/>
                    </w:rPr>
                    <w:t>131</w:t>
                  </w:r>
                  <w:r>
                    <w:rPr>
                      <w:rFonts w:ascii="Arial" w:hAnsi="Arial" w:cs="Arial"/>
                      <w:sz w:val="20"/>
                      <w:szCs w:val="20"/>
                    </w:rPr>
                    <w:t>I-MIBG has also been used as part of an intensive consolidation approach after conventional chemotherapy (</w:t>
                  </w:r>
                  <w:hyperlink r:id="rId253" w:anchor="15" w:history="1">
                    <w:r>
                      <w:rPr>
                        <w:rStyle w:val="Hyperlink"/>
                        <w:sz w:val="20"/>
                        <w:szCs w:val="20"/>
                      </w:rPr>
                      <w:t>15</w:t>
                    </w:r>
                  </w:hyperlink>
                  <w:r>
                    <w:rPr>
                      <w:rFonts w:ascii="Arial" w:hAnsi="Arial" w:cs="Arial"/>
                      <w:sz w:val="20"/>
                      <w:szCs w:val="20"/>
                    </w:rPr>
                    <w:t xml:space="preserve">). This led to a prolonged disease-free survival, but after 5 years only one patient out of 13 remained alive. More recently in a phase I escalation study </w:t>
                  </w:r>
                  <w:r>
                    <w:rPr>
                      <w:rFonts w:ascii="Arial" w:hAnsi="Arial" w:cs="Arial"/>
                      <w:sz w:val="20"/>
                      <w:szCs w:val="20"/>
                      <w:vertAlign w:val="superscript"/>
                    </w:rPr>
                    <w:t>131</w:t>
                  </w:r>
                  <w:r>
                    <w:rPr>
                      <w:rFonts w:ascii="Arial" w:hAnsi="Arial" w:cs="Arial"/>
                      <w:sz w:val="20"/>
                      <w:szCs w:val="20"/>
                    </w:rPr>
                    <w:t>I-MIBG with autologous bone marrow support resulted in a response rate of 37% but with two toxic deaths (</w:t>
                  </w:r>
                  <w:hyperlink r:id="rId254" w:anchor="16" w:history="1">
                    <w:r>
                      <w:rPr>
                        <w:rStyle w:val="Hyperlink"/>
                        <w:sz w:val="20"/>
                        <w:szCs w:val="20"/>
                      </w:rPr>
                      <w:t>16</w:t>
                    </w:r>
                  </w:hyperlink>
                  <w:r>
                    <w:rPr>
                      <w:rFonts w:ascii="Arial" w:hAnsi="Arial" w:cs="Arial"/>
                      <w:sz w:val="20"/>
                      <w:szCs w:val="20"/>
                    </w:rPr>
                    <w:t>).</w:t>
                  </w:r>
                </w:p>
              </w:tc>
              <w:tc>
                <w:tcPr>
                  <w:tcW w:w="200" w:type="pct"/>
                  <w:hideMark/>
                </w:tcPr>
                <w:p w:rsidR="00445CA7" w:rsidRDefault="00445CA7" w:rsidP="00E13FB9">
                  <w:pPr>
                    <w:framePr w:hSpace="45" w:wrap="around" w:vAnchor="text" w:hAnchor="text"/>
                    <w:jc w:val="both"/>
                    <w:rPr>
                      <w:sz w:val="24"/>
                      <w:szCs w:val="24"/>
                    </w:rPr>
                  </w:pPr>
                  <w:r>
                    <w:lastRenderedPageBreak/>
                    <w:t> </w:t>
                  </w:r>
                </w:p>
              </w:tc>
            </w:tr>
          </w:tbl>
          <w:p w:rsidR="00445CA7" w:rsidRDefault="00445CA7" w:rsidP="00E13FB9">
            <w:pPr>
              <w:jc w:val="both"/>
              <w:rPr>
                <w:sz w:val="24"/>
                <w:szCs w:val="24"/>
              </w:rPr>
            </w:pPr>
          </w:p>
        </w:tc>
      </w:tr>
      <w:tr w:rsidR="00445CA7">
        <w:trPr>
          <w:tblCellSpacing w:w="15" w:type="dxa"/>
        </w:trPr>
        <w:tc>
          <w:tcPr>
            <w:tcW w:w="6900" w:type="dxa"/>
            <w:hideMark/>
          </w:tcPr>
          <w:tbl>
            <w:tblPr>
              <w:tblW w:w="5000" w:type="pct"/>
              <w:tblCellSpacing w:w="15" w:type="dxa"/>
              <w:tblCellMar>
                <w:top w:w="15" w:type="dxa"/>
                <w:left w:w="15" w:type="dxa"/>
                <w:bottom w:w="15" w:type="dxa"/>
                <w:right w:w="15" w:type="dxa"/>
              </w:tblCellMar>
              <w:tblLook w:val="04A0"/>
            </w:tblPr>
            <w:tblGrid>
              <w:gridCol w:w="10087"/>
              <w:gridCol w:w="463"/>
            </w:tblGrid>
            <w:tr w:rsidR="00445CA7">
              <w:trPr>
                <w:tblCellSpacing w:w="15" w:type="dxa"/>
              </w:trPr>
              <w:tc>
                <w:tcPr>
                  <w:tcW w:w="0" w:type="auto"/>
                  <w:vAlign w:val="center"/>
                  <w:hideMark/>
                </w:tcPr>
                <w:p w:rsidR="00445CA7" w:rsidRDefault="00445CA7" w:rsidP="00E13FB9">
                  <w:pPr>
                    <w:pStyle w:val="NormalWeb"/>
                    <w:framePr w:hSpace="45" w:wrap="around" w:vAnchor="text" w:hAnchor="text"/>
                    <w:jc w:val="both"/>
                  </w:pPr>
                  <w:r>
                    <w:lastRenderedPageBreak/>
                    <w:t> </w:t>
                  </w:r>
                </w:p>
              </w:tc>
              <w:tc>
                <w:tcPr>
                  <w:tcW w:w="0" w:type="auto"/>
                  <w:vAlign w:val="center"/>
                  <w:hideMark/>
                </w:tcPr>
                <w:p w:rsidR="00445CA7" w:rsidRDefault="00445CA7" w:rsidP="00E13FB9">
                  <w:pPr>
                    <w:framePr w:hSpace="45" w:wrap="around" w:vAnchor="text" w:hAnchor="text"/>
                    <w:jc w:val="both"/>
                    <w:rPr>
                      <w:sz w:val="24"/>
                      <w:szCs w:val="24"/>
                    </w:rPr>
                  </w:pPr>
                  <w:r>
                    <w:t> </w:t>
                  </w:r>
                </w:p>
              </w:tc>
            </w:tr>
            <w:tr w:rsidR="00445CA7">
              <w:trPr>
                <w:tblCellSpacing w:w="15" w:type="dxa"/>
              </w:trPr>
              <w:tc>
                <w:tcPr>
                  <w:tcW w:w="4800" w:type="pct"/>
                  <w:hideMark/>
                </w:tcPr>
                <w:p w:rsidR="00445CA7" w:rsidRDefault="00445CA7" w:rsidP="00E13FB9">
                  <w:pPr>
                    <w:pStyle w:val="NormalWeb"/>
                    <w:framePr w:hSpace="45" w:wrap="around" w:vAnchor="text" w:hAnchor="text"/>
                    <w:jc w:val="both"/>
                  </w:pPr>
                  <w:r>
                    <w:rPr>
                      <w:rFonts w:ascii="Arial" w:hAnsi="Arial" w:cs="Arial"/>
                      <w:b/>
                      <w:bCs/>
                      <w:sz w:val="20"/>
                      <w:szCs w:val="20"/>
                    </w:rPr>
                    <w:t xml:space="preserve">Malignant pheochromocytoma and paraganglioma </w:t>
                  </w:r>
                </w:p>
                <w:p w:rsidR="00445CA7" w:rsidRDefault="00445CA7" w:rsidP="00E13FB9">
                  <w:pPr>
                    <w:framePr w:hSpace="45" w:wrap="around" w:vAnchor="text" w:hAnchor="text"/>
                    <w:jc w:val="both"/>
                  </w:pPr>
                </w:p>
                <w:p w:rsidR="00445CA7" w:rsidRDefault="00445CA7" w:rsidP="00E13FB9">
                  <w:pPr>
                    <w:pStyle w:val="NormalWeb"/>
                    <w:framePr w:hSpace="45" w:wrap="around" w:vAnchor="text" w:hAnchor="text"/>
                    <w:jc w:val="both"/>
                    <w:rPr>
                      <w:rFonts w:ascii="Arial" w:hAnsi="Arial" w:cs="Arial"/>
                      <w:sz w:val="20"/>
                      <w:szCs w:val="20"/>
                    </w:rPr>
                  </w:pPr>
                  <w:r>
                    <w:rPr>
                      <w:rFonts w:ascii="Arial" w:hAnsi="Arial" w:cs="Arial"/>
                      <w:sz w:val="20"/>
                      <w:szCs w:val="20"/>
                    </w:rPr>
                    <w:lastRenderedPageBreak/>
                    <w:t xml:space="preserve">An objective response rate (including hormonal response) of 75% according to the data of 116 patients treated in various centers was observed for the use of </w:t>
                  </w:r>
                  <w:r>
                    <w:rPr>
                      <w:rFonts w:ascii="Arial" w:hAnsi="Arial" w:cs="Arial"/>
                      <w:sz w:val="20"/>
                      <w:szCs w:val="20"/>
                      <w:vertAlign w:val="superscript"/>
                    </w:rPr>
                    <w:t>131</w:t>
                  </w:r>
                  <w:r>
                    <w:rPr>
                      <w:rFonts w:ascii="Arial" w:hAnsi="Arial" w:cs="Arial"/>
                      <w:sz w:val="20"/>
                      <w:szCs w:val="20"/>
                    </w:rPr>
                    <w:t>I-MIBG as monotherapy with cumulative doses ranging from 3.6 to 85.9 GBq in malignant pheochromocytoma (Fig. 4). In 76% of the patients subjective improvement of symptoms, lowering of blood pressure, as well as pain relief were achieved (</w:t>
                  </w:r>
                  <w:hyperlink r:id="rId255" w:anchor="17" w:history="1">
                    <w:r>
                      <w:rPr>
                        <w:rStyle w:val="Hyperlink"/>
                        <w:sz w:val="20"/>
                        <w:szCs w:val="20"/>
                      </w:rPr>
                      <w:t>17</w:t>
                    </w:r>
                  </w:hyperlink>
                  <w:r>
                    <w:rPr>
                      <w:rFonts w:ascii="Arial" w:hAnsi="Arial" w:cs="Arial"/>
                      <w:sz w:val="20"/>
                      <w:szCs w:val="20"/>
                    </w:rPr>
                    <w:t>). Also in malignant paraganglioma (secreting or non-secreting) objective partial remission, pain relief and improved quality of life have been described (</w:t>
                  </w:r>
                  <w:hyperlink r:id="rId256" w:anchor="18" w:history="1">
                    <w:r>
                      <w:rPr>
                        <w:rStyle w:val="Hyperlink"/>
                        <w:sz w:val="20"/>
                        <w:szCs w:val="20"/>
                      </w:rPr>
                      <w:t>18</w:t>
                    </w:r>
                  </w:hyperlink>
                  <w:r>
                    <w:rPr>
                      <w:rFonts w:ascii="Arial" w:hAnsi="Arial" w:cs="Arial"/>
                      <w:sz w:val="20"/>
                      <w:szCs w:val="20"/>
                    </w:rPr>
                    <w:t xml:space="preserve">, </w:t>
                  </w:r>
                  <w:hyperlink r:id="rId257" w:anchor="19" w:history="1">
                    <w:r>
                      <w:rPr>
                        <w:rStyle w:val="Hyperlink"/>
                        <w:sz w:val="20"/>
                        <w:szCs w:val="20"/>
                      </w:rPr>
                      <w:t>19</w:t>
                    </w:r>
                  </w:hyperlink>
                  <w:r>
                    <w:rPr>
                      <w:rFonts w:ascii="Arial" w:hAnsi="Arial" w:cs="Arial"/>
                      <w:sz w:val="20"/>
                      <w:szCs w:val="20"/>
                    </w:rPr>
                    <w:t>).</w:t>
                  </w:r>
                </w:p>
                <w:tbl>
                  <w:tblPr>
                    <w:tblW w:w="4000" w:type="pct"/>
                    <w:jc w:val="center"/>
                    <w:tblCellSpacing w:w="15" w:type="dxa"/>
                    <w:tblCellMar>
                      <w:top w:w="30" w:type="dxa"/>
                      <w:left w:w="30" w:type="dxa"/>
                      <w:bottom w:w="30" w:type="dxa"/>
                      <w:right w:w="30" w:type="dxa"/>
                    </w:tblCellMar>
                    <w:tblLook w:val="04A0"/>
                  </w:tblPr>
                  <w:tblGrid>
                    <w:gridCol w:w="8010"/>
                  </w:tblGrid>
                  <w:tr w:rsidR="00445CA7">
                    <w:trPr>
                      <w:tblCellSpacing w:w="15" w:type="dxa"/>
                      <w:jc w:val="center"/>
                    </w:trPr>
                    <w:tc>
                      <w:tcPr>
                        <w:tcW w:w="0" w:type="auto"/>
                        <w:vAlign w:val="center"/>
                        <w:hideMark/>
                      </w:tcPr>
                      <w:p w:rsidR="00445CA7" w:rsidRDefault="00445CA7" w:rsidP="00E13FB9">
                        <w:pPr>
                          <w:framePr w:hSpace="45" w:wrap="around" w:vAnchor="text" w:hAnchor="text"/>
                          <w:jc w:val="both"/>
                        </w:pPr>
                        <w:r>
                          <w:t xml:space="preserve">  </w:t>
                        </w:r>
                      </w:p>
                      <w:p w:rsidR="00445CA7" w:rsidRDefault="00445CA7" w:rsidP="00E13FB9">
                        <w:pPr>
                          <w:pStyle w:val="NormalWeb"/>
                          <w:framePr w:hSpace="45" w:wrap="around" w:vAnchor="text" w:hAnchor="text"/>
                          <w:jc w:val="both"/>
                        </w:pPr>
                        <w:r>
                          <w:rPr>
                            <w:noProof/>
                          </w:rPr>
                          <w:drawing>
                            <wp:inline distT="0" distB="0" distL="0" distR="0">
                              <wp:extent cx="4286250" cy="4000500"/>
                              <wp:effectExtent l="19050" t="0" r="0" b="0"/>
                              <wp:docPr id="256" name="Picture 8" descr="http://www.alasbimnjournal.cl/www2/AlasbimnImages/aj18-av-fi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asbimnjournal.cl/www2/AlasbimnImages/aj18-av-fig04.jpg"/>
                                      <pic:cNvPicPr>
                                        <a:picLocks noChangeAspect="1" noChangeArrowheads="1"/>
                                      </pic:cNvPicPr>
                                    </pic:nvPicPr>
                                    <pic:blipFill>
                                      <a:blip r:embed="rId258"/>
                                      <a:srcRect/>
                                      <a:stretch>
                                        <a:fillRect/>
                                      </a:stretch>
                                    </pic:blipFill>
                                    <pic:spPr bwMode="auto">
                                      <a:xfrm>
                                        <a:off x="0" y="0"/>
                                        <a:ext cx="4286250" cy="4000500"/>
                                      </a:xfrm>
                                      <a:prstGeom prst="rect">
                                        <a:avLst/>
                                      </a:prstGeom>
                                      <a:noFill/>
                                      <a:ln w="9525">
                                        <a:noFill/>
                                        <a:miter lim="800000"/>
                                        <a:headEnd/>
                                        <a:tailEnd/>
                                      </a:ln>
                                    </pic:spPr>
                                  </pic:pic>
                                </a:graphicData>
                              </a:graphic>
                            </wp:inline>
                          </w:drawing>
                        </w:r>
                      </w:p>
                    </w:tc>
                  </w:tr>
                  <w:tr w:rsidR="00445CA7">
                    <w:trPr>
                      <w:tblCellSpacing w:w="15" w:type="dxa"/>
                      <w:jc w:val="center"/>
                    </w:trPr>
                    <w:tc>
                      <w:tcPr>
                        <w:tcW w:w="0" w:type="auto"/>
                        <w:vAlign w:val="center"/>
                        <w:hideMark/>
                      </w:tcPr>
                      <w:p w:rsidR="00445CA7" w:rsidRDefault="00445CA7" w:rsidP="00E13FB9">
                        <w:pPr>
                          <w:pStyle w:val="NormalWeb"/>
                          <w:framePr w:hSpace="45" w:wrap="around" w:vAnchor="text" w:hAnchor="text"/>
                          <w:jc w:val="both"/>
                        </w:pPr>
                        <w:r>
                          <w:rPr>
                            <w:rStyle w:val="Strong"/>
                            <w:sz w:val="20"/>
                            <w:szCs w:val="20"/>
                          </w:rPr>
                          <w:t>Figure 4.</w:t>
                        </w:r>
                        <w:r>
                          <w:rPr>
                            <w:rFonts w:ascii="Arial" w:hAnsi="Arial" w:cs="Arial"/>
                            <w:sz w:val="20"/>
                            <w:szCs w:val="20"/>
                          </w:rPr>
                          <w:t xml:space="preserve"> Sequential anterior total body images showing progressive improvement after </w:t>
                        </w:r>
                        <w:r>
                          <w:rPr>
                            <w:rFonts w:ascii="Arial" w:hAnsi="Arial" w:cs="Arial"/>
                            <w:sz w:val="20"/>
                            <w:szCs w:val="20"/>
                            <w:vertAlign w:val="superscript"/>
                          </w:rPr>
                          <w:t>131</w:t>
                        </w:r>
                        <w:r>
                          <w:rPr>
                            <w:rFonts w:ascii="Arial" w:hAnsi="Arial" w:cs="Arial"/>
                            <w:sz w:val="20"/>
                            <w:szCs w:val="20"/>
                          </w:rPr>
                          <w:t>I-MIBG therapy in a patient with multiple metastases of pheochromocytoma.</w:t>
                        </w:r>
                      </w:p>
                    </w:tc>
                  </w:tr>
                </w:tbl>
                <w:p w:rsidR="00445CA7" w:rsidRDefault="00445CA7" w:rsidP="00E13FB9">
                  <w:pPr>
                    <w:framePr w:hSpace="45" w:wrap="around" w:vAnchor="text" w:hAnchor="text"/>
                    <w:jc w:val="both"/>
                    <w:rPr>
                      <w:rFonts w:ascii="Arial" w:hAnsi="Arial" w:cs="Arial"/>
                      <w:sz w:val="20"/>
                      <w:szCs w:val="20"/>
                    </w:rPr>
                  </w:pPr>
                </w:p>
              </w:tc>
              <w:tc>
                <w:tcPr>
                  <w:tcW w:w="200" w:type="pct"/>
                  <w:hideMark/>
                </w:tcPr>
                <w:p w:rsidR="00445CA7" w:rsidRDefault="00445CA7" w:rsidP="00E13FB9">
                  <w:pPr>
                    <w:framePr w:hSpace="45" w:wrap="around" w:vAnchor="text" w:hAnchor="text"/>
                    <w:jc w:val="both"/>
                    <w:rPr>
                      <w:sz w:val="24"/>
                      <w:szCs w:val="24"/>
                    </w:rPr>
                  </w:pPr>
                  <w:r>
                    <w:lastRenderedPageBreak/>
                    <w:t> </w:t>
                  </w:r>
                </w:p>
              </w:tc>
            </w:tr>
          </w:tbl>
          <w:p w:rsidR="00445CA7" w:rsidRDefault="00445CA7" w:rsidP="00E13FB9">
            <w:pPr>
              <w:jc w:val="both"/>
              <w:rPr>
                <w:sz w:val="24"/>
                <w:szCs w:val="24"/>
              </w:rPr>
            </w:pPr>
          </w:p>
        </w:tc>
      </w:tr>
      <w:tr w:rsidR="00445CA7">
        <w:trPr>
          <w:tblCellSpacing w:w="15" w:type="dxa"/>
        </w:trPr>
        <w:tc>
          <w:tcPr>
            <w:tcW w:w="6900" w:type="dxa"/>
            <w:hideMark/>
          </w:tcPr>
          <w:tbl>
            <w:tblPr>
              <w:tblW w:w="5000" w:type="pct"/>
              <w:tblCellSpacing w:w="15" w:type="dxa"/>
              <w:tblCellMar>
                <w:top w:w="15" w:type="dxa"/>
                <w:left w:w="15" w:type="dxa"/>
                <w:bottom w:w="15" w:type="dxa"/>
                <w:right w:w="15" w:type="dxa"/>
              </w:tblCellMar>
              <w:tblLook w:val="04A0"/>
            </w:tblPr>
            <w:tblGrid>
              <w:gridCol w:w="10087"/>
              <w:gridCol w:w="463"/>
            </w:tblGrid>
            <w:tr w:rsidR="00445CA7">
              <w:trPr>
                <w:tblCellSpacing w:w="15" w:type="dxa"/>
              </w:trPr>
              <w:tc>
                <w:tcPr>
                  <w:tcW w:w="0" w:type="auto"/>
                  <w:vAlign w:val="center"/>
                  <w:hideMark/>
                </w:tcPr>
                <w:p w:rsidR="00445CA7" w:rsidRDefault="00445CA7" w:rsidP="00E13FB9">
                  <w:pPr>
                    <w:pStyle w:val="NormalWeb"/>
                    <w:framePr w:hSpace="45" w:wrap="around" w:vAnchor="text" w:hAnchor="text"/>
                    <w:jc w:val="both"/>
                  </w:pPr>
                  <w:r>
                    <w:lastRenderedPageBreak/>
                    <w:t> </w:t>
                  </w:r>
                </w:p>
              </w:tc>
              <w:tc>
                <w:tcPr>
                  <w:tcW w:w="0" w:type="auto"/>
                  <w:vAlign w:val="center"/>
                  <w:hideMark/>
                </w:tcPr>
                <w:p w:rsidR="00445CA7" w:rsidRDefault="00445CA7" w:rsidP="00E13FB9">
                  <w:pPr>
                    <w:framePr w:hSpace="45" w:wrap="around" w:vAnchor="text" w:hAnchor="text"/>
                    <w:jc w:val="both"/>
                    <w:rPr>
                      <w:sz w:val="24"/>
                      <w:szCs w:val="24"/>
                    </w:rPr>
                  </w:pPr>
                  <w:r>
                    <w:t> </w:t>
                  </w:r>
                </w:p>
              </w:tc>
            </w:tr>
            <w:tr w:rsidR="00445CA7">
              <w:trPr>
                <w:tblCellSpacing w:w="15" w:type="dxa"/>
              </w:trPr>
              <w:tc>
                <w:tcPr>
                  <w:tcW w:w="4800" w:type="pct"/>
                  <w:hideMark/>
                </w:tcPr>
                <w:p w:rsidR="00445CA7" w:rsidRDefault="00445CA7" w:rsidP="00E13FB9">
                  <w:pPr>
                    <w:pStyle w:val="NormalWeb"/>
                    <w:framePr w:hSpace="45" w:wrap="around" w:vAnchor="text" w:hAnchor="text"/>
                    <w:jc w:val="both"/>
                  </w:pPr>
                  <w:r>
                    <w:rPr>
                      <w:rFonts w:ascii="Arial" w:hAnsi="Arial" w:cs="Arial"/>
                      <w:b/>
                      <w:bCs/>
                      <w:sz w:val="20"/>
                      <w:szCs w:val="20"/>
                    </w:rPr>
                    <w:t xml:space="preserve">Carcinoid and other neuroendocrine tumors </w:t>
                  </w:r>
                </w:p>
                <w:p w:rsidR="00445CA7" w:rsidRDefault="00445CA7" w:rsidP="00E13FB9">
                  <w:pPr>
                    <w:framePr w:hSpace="45" w:wrap="around" w:vAnchor="text" w:hAnchor="text"/>
                    <w:jc w:val="both"/>
                  </w:pPr>
                </w:p>
                <w:p w:rsidR="00445CA7" w:rsidRDefault="00445CA7" w:rsidP="00E13FB9">
                  <w:pPr>
                    <w:pStyle w:val="NormalWeb"/>
                    <w:framePr w:hSpace="45" w:wrap="around" w:vAnchor="text" w:hAnchor="text"/>
                    <w:jc w:val="both"/>
                    <w:rPr>
                      <w:rFonts w:ascii="Arial" w:hAnsi="Arial" w:cs="Arial"/>
                      <w:sz w:val="20"/>
                      <w:szCs w:val="20"/>
                    </w:rPr>
                  </w:pPr>
                  <w:r>
                    <w:rPr>
                      <w:rStyle w:val="Emphasis"/>
                      <w:rFonts w:ascii="Arial" w:hAnsi="Arial" w:cs="Arial"/>
                      <w:sz w:val="20"/>
                      <w:szCs w:val="20"/>
                    </w:rPr>
                    <w:t>Monotherapy with</w:t>
                  </w:r>
                  <w:r>
                    <w:rPr>
                      <w:rStyle w:val="Emphasis"/>
                      <w:rFonts w:ascii="Arial" w:hAnsi="Arial" w:cs="Arial"/>
                      <w:sz w:val="20"/>
                      <w:szCs w:val="20"/>
                      <w:vertAlign w:val="superscript"/>
                    </w:rPr>
                    <w:t>131</w:t>
                  </w:r>
                  <w:r>
                    <w:rPr>
                      <w:rStyle w:val="Emphasis"/>
                      <w:rFonts w:ascii="Arial" w:hAnsi="Arial" w:cs="Arial"/>
                      <w:sz w:val="20"/>
                      <w:szCs w:val="20"/>
                    </w:rPr>
                    <w:t>I-MIBG or MIBG</w:t>
                  </w:r>
                  <w:r>
                    <w:rPr>
                      <w:rFonts w:ascii="Arial" w:hAnsi="Arial" w:cs="Arial"/>
                      <w:sz w:val="20"/>
                      <w:szCs w:val="20"/>
                    </w:rPr>
                    <w:t xml:space="preserve">. Based on 7.4 GBq (200 mCi) dosages, monotherapy with </w:t>
                  </w:r>
                  <w:r>
                    <w:rPr>
                      <w:rFonts w:ascii="Arial" w:hAnsi="Arial" w:cs="Arial"/>
                      <w:sz w:val="20"/>
                      <w:szCs w:val="20"/>
                      <w:vertAlign w:val="superscript"/>
                    </w:rPr>
                    <w:t>131</w:t>
                  </w:r>
                  <w:r>
                    <w:rPr>
                      <w:rFonts w:ascii="Arial" w:hAnsi="Arial" w:cs="Arial"/>
                      <w:sz w:val="20"/>
                      <w:szCs w:val="20"/>
                    </w:rPr>
                    <w:t>I-MIBG resulted in relief of symptoms (flushes, diarrhoea, anorexia, pain) in 18/30 carcinoid patients (60%) with a median duration of 8 months (range 2-24 m). Also unlabeled MIBG may lead to a pharmacological effect and dosages of 20-40 mg/m</w:t>
                  </w:r>
                  <w:r>
                    <w:rPr>
                      <w:rFonts w:ascii="Arial" w:hAnsi="Arial" w:cs="Arial"/>
                      <w:sz w:val="20"/>
                      <w:szCs w:val="20"/>
                      <w:vertAlign w:val="superscript"/>
                    </w:rPr>
                    <w:t>2</w:t>
                  </w:r>
                  <w:r>
                    <w:rPr>
                      <w:rFonts w:ascii="Arial" w:hAnsi="Arial" w:cs="Arial"/>
                      <w:sz w:val="20"/>
                      <w:szCs w:val="20"/>
                    </w:rPr>
                    <w:t> resulted in symptom relief in 12/20 patients (60%) with a median duration of 4 months (range 1-10 m) (</w:t>
                  </w:r>
                  <w:hyperlink r:id="rId259" w:anchor="20" w:history="1">
                    <w:r>
                      <w:rPr>
                        <w:rStyle w:val="Hyperlink"/>
                        <w:sz w:val="20"/>
                        <w:szCs w:val="20"/>
                      </w:rPr>
                      <w:t>20</w:t>
                    </w:r>
                  </w:hyperlink>
                  <w:r>
                    <w:rPr>
                      <w:rFonts w:ascii="Arial" w:hAnsi="Arial" w:cs="Arial"/>
                      <w:sz w:val="20"/>
                      <w:szCs w:val="20"/>
                    </w:rPr>
                    <w:t xml:space="preserve">). An overall 5-year survival rate of 78% was found for a group of 18 carcinoid patients treated with </w:t>
                  </w:r>
                  <w:r>
                    <w:rPr>
                      <w:rFonts w:ascii="Arial" w:hAnsi="Arial" w:cs="Arial"/>
                      <w:sz w:val="20"/>
                      <w:szCs w:val="20"/>
                      <w:vertAlign w:val="superscript"/>
                    </w:rPr>
                    <w:t>131</w:t>
                  </w:r>
                  <w:r>
                    <w:rPr>
                      <w:rFonts w:ascii="Arial" w:hAnsi="Arial" w:cs="Arial"/>
                      <w:sz w:val="20"/>
                      <w:szCs w:val="20"/>
                    </w:rPr>
                    <w:t>I-MIBG alone (</w:t>
                  </w:r>
                  <w:hyperlink r:id="rId260" w:anchor="19" w:history="1">
                    <w:r>
                      <w:rPr>
                        <w:rStyle w:val="Hyperlink"/>
                        <w:sz w:val="20"/>
                        <w:szCs w:val="20"/>
                      </w:rPr>
                      <w:t>19</w:t>
                    </w:r>
                  </w:hyperlink>
                  <w:r>
                    <w:rPr>
                      <w:rFonts w:ascii="Arial" w:hAnsi="Arial" w:cs="Arial"/>
                      <w:sz w:val="20"/>
                      <w:szCs w:val="20"/>
                    </w:rPr>
                    <w:t>).</w:t>
                  </w:r>
                </w:p>
                <w:p w:rsidR="00445CA7" w:rsidRDefault="00445CA7" w:rsidP="00E13FB9">
                  <w:pPr>
                    <w:pStyle w:val="NormalWeb"/>
                    <w:framePr w:hSpace="45" w:wrap="around" w:vAnchor="text" w:hAnchor="text"/>
                    <w:jc w:val="both"/>
                    <w:rPr>
                      <w:rFonts w:ascii="Arial" w:hAnsi="Arial" w:cs="Arial"/>
                      <w:sz w:val="20"/>
                      <w:szCs w:val="20"/>
                    </w:rPr>
                  </w:pPr>
                  <w:r>
                    <w:rPr>
                      <w:rStyle w:val="Emphasis"/>
                      <w:rFonts w:ascii="Arial" w:hAnsi="Arial" w:cs="Arial"/>
                      <w:sz w:val="20"/>
                      <w:szCs w:val="20"/>
                      <w:vertAlign w:val="superscript"/>
                    </w:rPr>
                    <w:t>131</w:t>
                  </w:r>
                  <w:r>
                    <w:rPr>
                      <w:rStyle w:val="Emphasis"/>
                      <w:rFonts w:ascii="Arial" w:hAnsi="Arial" w:cs="Arial"/>
                      <w:sz w:val="20"/>
                      <w:szCs w:val="20"/>
                    </w:rPr>
                    <w:t>I-MIBG combined with pre-doses of MIBG</w:t>
                  </w:r>
                  <w:r>
                    <w:rPr>
                      <w:rFonts w:ascii="Arial" w:hAnsi="Arial" w:cs="Arial"/>
                      <w:sz w:val="20"/>
                      <w:szCs w:val="20"/>
                    </w:rPr>
                    <w:t xml:space="preserve">. Based on the palliative effect observed for both </w:t>
                  </w:r>
                  <w:r>
                    <w:rPr>
                      <w:rFonts w:ascii="Arial" w:hAnsi="Arial" w:cs="Arial"/>
                      <w:sz w:val="20"/>
                      <w:szCs w:val="20"/>
                      <w:vertAlign w:val="superscript"/>
                    </w:rPr>
                    <w:t>131</w:t>
                  </w:r>
                  <w:r>
                    <w:rPr>
                      <w:rFonts w:ascii="Arial" w:hAnsi="Arial" w:cs="Arial"/>
                      <w:sz w:val="20"/>
                      <w:szCs w:val="20"/>
                    </w:rPr>
                    <w:t xml:space="preserve">I-MIBG and MIBG independently administered in carcinoid, the administration of </w:t>
                  </w:r>
                  <w:r>
                    <w:rPr>
                      <w:rFonts w:ascii="Arial" w:hAnsi="Arial" w:cs="Arial"/>
                      <w:sz w:val="20"/>
                      <w:szCs w:val="20"/>
                      <w:vertAlign w:val="superscript"/>
                    </w:rPr>
                    <w:t>131</w:t>
                  </w:r>
                  <w:r>
                    <w:rPr>
                      <w:rFonts w:ascii="Arial" w:hAnsi="Arial" w:cs="Arial"/>
                      <w:sz w:val="20"/>
                      <w:szCs w:val="20"/>
                    </w:rPr>
                    <w:t>I-MIBG dosages of 7.4 GBq shortly after the infusion of 20mg/ m</w:t>
                  </w:r>
                  <w:r>
                    <w:rPr>
                      <w:rFonts w:ascii="Arial" w:hAnsi="Arial" w:cs="Arial"/>
                      <w:sz w:val="20"/>
                      <w:szCs w:val="20"/>
                      <w:vertAlign w:val="superscript"/>
                    </w:rPr>
                    <w:t>2</w:t>
                  </w:r>
                  <w:r>
                    <w:rPr>
                      <w:rFonts w:ascii="Arial" w:hAnsi="Arial" w:cs="Arial"/>
                      <w:sz w:val="20"/>
                      <w:szCs w:val="20"/>
                    </w:rPr>
                    <w:t> unlabelled MIBG resulted in the reduction of 5-HIAA in urine in 3 of 5 patients and 6-12 month symptom relief in 4 (</w:t>
                  </w:r>
                  <w:hyperlink r:id="rId261" w:anchor="21" w:history="1">
                    <w:r>
                      <w:rPr>
                        <w:rStyle w:val="Hyperlink"/>
                        <w:sz w:val="20"/>
                        <w:szCs w:val="20"/>
                      </w:rPr>
                      <w:t>21</w:t>
                    </w:r>
                  </w:hyperlink>
                  <w:r>
                    <w:rPr>
                      <w:rFonts w:ascii="Arial" w:hAnsi="Arial" w:cs="Arial"/>
                      <w:sz w:val="20"/>
                      <w:szCs w:val="20"/>
                    </w:rPr>
                    <w:t xml:space="preserve">). The observation of an increase in the tumor/non-tumor ratio on diagnostic scintigraphy with </w:t>
                  </w:r>
                  <w:r>
                    <w:rPr>
                      <w:rFonts w:ascii="Arial" w:hAnsi="Arial" w:cs="Arial"/>
                      <w:sz w:val="20"/>
                      <w:szCs w:val="20"/>
                      <w:vertAlign w:val="superscript"/>
                    </w:rPr>
                    <w:t>131</w:t>
                  </w:r>
                  <w:r>
                    <w:rPr>
                      <w:rFonts w:ascii="Arial" w:hAnsi="Arial" w:cs="Arial"/>
                      <w:sz w:val="20"/>
                      <w:szCs w:val="20"/>
                    </w:rPr>
                    <w:t xml:space="preserve">I-MIBG combined with pre-dosing of unlabelled MIBG may help to select carcinoid patients </w:t>
                  </w:r>
                  <w:r>
                    <w:rPr>
                      <w:rFonts w:ascii="Arial" w:hAnsi="Arial" w:cs="Arial"/>
                      <w:sz w:val="20"/>
                      <w:szCs w:val="20"/>
                    </w:rPr>
                    <w:lastRenderedPageBreak/>
                    <w:t xml:space="preserve">for this therapy. By saturating sites of physiological uptake pre-dosing with MIBG does decrease </w:t>
                  </w:r>
                  <w:r>
                    <w:rPr>
                      <w:rFonts w:ascii="Arial" w:hAnsi="Arial" w:cs="Arial"/>
                      <w:sz w:val="20"/>
                      <w:szCs w:val="20"/>
                      <w:vertAlign w:val="superscript"/>
                    </w:rPr>
                    <w:t>131</w:t>
                  </w:r>
                  <w:r>
                    <w:rPr>
                      <w:rFonts w:ascii="Arial" w:hAnsi="Arial" w:cs="Arial"/>
                      <w:sz w:val="20"/>
                      <w:szCs w:val="20"/>
                    </w:rPr>
                    <w:t>I-MIBG uptake in organs such as salivary glands, heart and liver but apparently not in tumor. More recently, a pre-treatment with interferon alpha has been added to the MIBG/</w:t>
                  </w:r>
                  <w:r>
                    <w:rPr>
                      <w:rFonts w:ascii="Arial" w:hAnsi="Arial" w:cs="Arial"/>
                      <w:sz w:val="20"/>
                      <w:szCs w:val="20"/>
                      <w:vertAlign w:val="superscript"/>
                    </w:rPr>
                    <w:t>131</w:t>
                  </w:r>
                  <w:r>
                    <w:rPr>
                      <w:rFonts w:ascii="Arial" w:hAnsi="Arial" w:cs="Arial"/>
                      <w:sz w:val="20"/>
                      <w:szCs w:val="20"/>
                    </w:rPr>
                    <w:t>I-MIBG schedule based on the observation that interferon applied as monotherapy may also lead to palliation and biochemical response in carcinoid patients (</w:t>
                  </w:r>
                  <w:hyperlink r:id="rId262" w:anchor="12" w:history="1">
                    <w:r>
                      <w:rPr>
                        <w:rStyle w:val="Hyperlink"/>
                        <w:sz w:val="20"/>
                        <w:szCs w:val="20"/>
                      </w:rPr>
                      <w:t>12</w:t>
                    </w:r>
                  </w:hyperlink>
                  <w:r>
                    <w:rPr>
                      <w:rFonts w:ascii="Arial" w:hAnsi="Arial" w:cs="Arial"/>
                      <w:sz w:val="20"/>
                      <w:szCs w:val="20"/>
                    </w:rPr>
                    <w:t>).</w:t>
                  </w:r>
                </w:p>
                <w:p w:rsidR="00445CA7" w:rsidRDefault="00445CA7" w:rsidP="00E13FB9">
                  <w:pPr>
                    <w:pStyle w:val="NormalWeb"/>
                    <w:framePr w:hSpace="45" w:wrap="around" w:vAnchor="text" w:hAnchor="text"/>
                    <w:jc w:val="both"/>
                    <w:rPr>
                      <w:rFonts w:ascii="Arial" w:hAnsi="Arial" w:cs="Arial"/>
                      <w:sz w:val="20"/>
                      <w:szCs w:val="20"/>
                    </w:rPr>
                  </w:pPr>
                  <w:r>
                    <w:rPr>
                      <w:rStyle w:val="Emphasis"/>
                      <w:rFonts w:ascii="Arial" w:hAnsi="Arial" w:cs="Arial"/>
                      <w:sz w:val="20"/>
                      <w:szCs w:val="20"/>
                      <w:vertAlign w:val="superscript"/>
                    </w:rPr>
                    <w:t>111</w:t>
                  </w:r>
                  <w:r>
                    <w:rPr>
                      <w:rStyle w:val="Emphasis"/>
                      <w:rFonts w:ascii="Arial" w:hAnsi="Arial" w:cs="Arial"/>
                      <w:sz w:val="20"/>
                      <w:szCs w:val="20"/>
                    </w:rPr>
                    <w:t>In-DTPAOC.</w:t>
                  </w:r>
                  <w:r>
                    <w:rPr>
                      <w:rFonts w:ascii="Arial" w:hAnsi="Arial" w:cs="Arial"/>
                      <w:sz w:val="20"/>
                      <w:szCs w:val="20"/>
                    </w:rPr>
                    <w:t> This Auger-emitting radiolabeled peptide, which binds to somatostatin receptors subtypes sst2 and sst5, was employed in a phase I study concerning 50 patients who received cumulative doses of 20-160 GBq. Therapeutic effect was observed in 21 patients. In 3 of 6 patients with more than 100 GBq a myelodysplastic syndrome or leukemia was observed. Short-term nephrotoxicity was not seen despite the high radiation dose to the kidneys calculated for patients receiving more than 100 GBq (</w:t>
                  </w:r>
                  <w:hyperlink r:id="rId263" w:anchor="22" w:history="1">
                    <w:r>
                      <w:rPr>
                        <w:rStyle w:val="Hyperlink"/>
                        <w:sz w:val="20"/>
                        <w:szCs w:val="20"/>
                      </w:rPr>
                      <w:t>22</w:t>
                    </w:r>
                  </w:hyperlink>
                  <w:r>
                    <w:rPr>
                      <w:rFonts w:ascii="Arial" w:hAnsi="Arial" w:cs="Arial"/>
                      <w:sz w:val="20"/>
                      <w:szCs w:val="20"/>
                    </w:rPr>
                    <w:t>). In another study 2 doses of 180 mCi resulted in 62% symptom improvement, 81% hormonal marker decrease, 27% CT-documented tumor effect, and a median survival of 18 months (3-54 m) in a group of 27 patients (24 carcinoid, 3 pancreatic islet cells) (</w:t>
                  </w:r>
                  <w:hyperlink r:id="rId264" w:anchor="23" w:history="1">
                    <w:r>
                      <w:rPr>
                        <w:rStyle w:val="Hyperlink"/>
                        <w:sz w:val="20"/>
                        <w:szCs w:val="20"/>
                      </w:rPr>
                      <w:t>23</w:t>
                    </w:r>
                  </w:hyperlink>
                  <w:r>
                    <w:rPr>
                      <w:rFonts w:ascii="Arial" w:hAnsi="Arial" w:cs="Arial"/>
                      <w:sz w:val="20"/>
                      <w:szCs w:val="20"/>
                    </w:rPr>
                    <w:t xml:space="preserve">). The limitation of </w:t>
                  </w:r>
                  <w:r>
                    <w:rPr>
                      <w:rFonts w:ascii="Arial" w:hAnsi="Arial" w:cs="Arial"/>
                      <w:sz w:val="20"/>
                      <w:szCs w:val="20"/>
                      <w:vertAlign w:val="superscript"/>
                    </w:rPr>
                    <w:t>111</w:t>
                  </w:r>
                  <w:r>
                    <w:rPr>
                      <w:rFonts w:ascii="Arial" w:hAnsi="Arial" w:cs="Arial"/>
                      <w:sz w:val="20"/>
                      <w:szCs w:val="20"/>
                    </w:rPr>
                    <w:t>In is the short range of the Auger electrons, which cannot kill neighboring receptor-negative cells in tumors with receptor heterogeneity, and has reinforced the search to develop somatostatin analogs linked to "β-emitter" (</w:t>
                  </w:r>
                  <w:hyperlink r:id="rId265" w:anchor="24" w:history="1">
                    <w:r>
                      <w:rPr>
                        <w:rStyle w:val="Hyperlink"/>
                        <w:sz w:val="20"/>
                        <w:szCs w:val="20"/>
                      </w:rPr>
                      <w:t>24</w:t>
                    </w:r>
                  </w:hyperlink>
                  <w:r>
                    <w:rPr>
                      <w:rFonts w:ascii="Arial" w:hAnsi="Arial" w:cs="Arial"/>
                      <w:sz w:val="20"/>
                      <w:szCs w:val="20"/>
                    </w:rPr>
                    <w:t>).</w:t>
                  </w:r>
                </w:p>
                <w:p w:rsidR="00445CA7" w:rsidRDefault="00445CA7" w:rsidP="00E13FB9">
                  <w:pPr>
                    <w:pStyle w:val="NormalWeb"/>
                    <w:framePr w:hSpace="45" w:wrap="around" w:vAnchor="text" w:hAnchor="text"/>
                    <w:jc w:val="both"/>
                    <w:rPr>
                      <w:rFonts w:ascii="Arial" w:hAnsi="Arial" w:cs="Arial"/>
                      <w:sz w:val="20"/>
                      <w:szCs w:val="20"/>
                    </w:rPr>
                  </w:pPr>
                  <w:r>
                    <w:rPr>
                      <w:rStyle w:val="Emphasis"/>
                      <w:rFonts w:ascii="Arial" w:hAnsi="Arial" w:cs="Arial"/>
                      <w:sz w:val="20"/>
                      <w:szCs w:val="20"/>
                      <w:vertAlign w:val="superscript"/>
                    </w:rPr>
                    <w:t>90</w:t>
                  </w:r>
                  <w:r>
                    <w:rPr>
                      <w:rStyle w:val="Emphasis"/>
                      <w:rFonts w:ascii="Arial" w:hAnsi="Arial" w:cs="Arial"/>
                      <w:sz w:val="20"/>
                      <w:szCs w:val="20"/>
                    </w:rPr>
                    <w:t>Y-DOTATOC</w:t>
                  </w:r>
                  <w:r>
                    <w:rPr>
                      <w:rFonts w:ascii="Arial" w:hAnsi="Arial" w:cs="Arial"/>
                      <w:sz w:val="20"/>
                      <w:szCs w:val="20"/>
                    </w:rPr>
                    <w:t xml:space="preserve">. The development of DOTA as a chelating agent for complexing of </w:t>
                  </w:r>
                  <w:r>
                    <w:rPr>
                      <w:rFonts w:ascii="Arial" w:hAnsi="Arial" w:cs="Arial"/>
                      <w:sz w:val="20"/>
                      <w:szCs w:val="20"/>
                      <w:vertAlign w:val="superscript"/>
                    </w:rPr>
                    <w:t>90</w:t>
                  </w:r>
                  <w:r>
                    <w:rPr>
                      <w:rFonts w:ascii="Arial" w:hAnsi="Arial" w:cs="Arial"/>
                      <w:sz w:val="20"/>
                      <w:szCs w:val="20"/>
                    </w:rPr>
                    <w:t xml:space="preserve">Y,  "pure β-emitter" with a 64 h physical half-life, has lead to the use of </w:t>
                  </w:r>
                  <w:r>
                    <w:rPr>
                      <w:rFonts w:ascii="Arial" w:hAnsi="Arial" w:cs="Arial"/>
                      <w:sz w:val="20"/>
                      <w:szCs w:val="20"/>
                      <w:vertAlign w:val="superscript"/>
                    </w:rPr>
                    <w:t>90</w:t>
                  </w:r>
                  <w:r>
                    <w:rPr>
                      <w:rFonts w:ascii="Arial" w:hAnsi="Arial" w:cs="Arial"/>
                      <w:sz w:val="20"/>
                      <w:szCs w:val="20"/>
                    </w:rPr>
                    <w:t>Y-DOTATOC in the treatment of carcinoid and other neuroendocrine tumors. A dose-escalation study with cumulative doses ranging from 3.97 to 8.92 GBq/m</w:t>
                  </w:r>
                  <w:r>
                    <w:rPr>
                      <w:rFonts w:ascii="Arial" w:hAnsi="Arial" w:cs="Arial"/>
                      <w:sz w:val="20"/>
                      <w:szCs w:val="20"/>
                      <w:vertAlign w:val="superscript"/>
                    </w:rPr>
                    <w:t>2</w:t>
                  </w:r>
                  <w:r>
                    <w:rPr>
                      <w:rFonts w:ascii="Arial" w:hAnsi="Arial" w:cs="Arial"/>
                      <w:sz w:val="20"/>
                      <w:szCs w:val="20"/>
                    </w:rPr>
                    <w:t> in 29 patients with neuroendocrine tumors (14 carcinoid) resulted in stable disease in 20 patients, &gt; 50% tumor reduction in 4, partial remission in 2 and tumor progression in 3. Renal toxicity was observed in 4 patients, 2 of them requiring haemodyalisis (</w:t>
                  </w:r>
                  <w:hyperlink r:id="rId266" w:anchor="25" w:history="1">
                    <w:r>
                      <w:rPr>
                        <w:rStyle w:val="Hyperlink"/>
                        <w:sz w:val="20"/>
                        <w:szCs w:val="20"/>
                      </w:rPr>
                      <w:t>25</w:t>
                    </w:r>
                  </w:hyperlink>
                  <w:r>
                    <w:rPr>
                      <w:rFonts w:ascii="Arial" w:hAnsi="Arial" w:cs="Arial"/>
                      <w:sz w:val="20"/>
                      <w:szCs w:val="20"/>
                    </w:rPr>
                    <w:t xml:space="preserve">). In another study concerning 30 patients, escalated doses in groups of 6 patients (3 cycles of 1.1 GBq </w:t>
                  </w:r>
                  <w:r>
                    <w:rPr>
                      <w:rFonts w:ascii="Arial" w:hAnsi="Arial" w:cs="Arial"/>
                      <w:sz w:val="20"/>
                      <w:szCs w:val="20"/>
                      <w:vertAlign w:val="superscript"/>
                    </w:rPr>
                    <w:t>90</w:t>
                  </w:r>
                  <w:r>
                    <w:rPr>
                      <w:rFonts w:ascii="Arial" w:hAnsi="Arial" w:cs="Arial"/>
                      <w:sz w:val="20"/>
                      <w:szCs w:val="20"/>
                    </w:rPr>
                    <w:t>Y-DOTATOC containing 30 ìg octreotide and increases of 0.4 GBq per group) led to partial of complete tumor reduction in 23%, stable disease in 64% and progression in 13%. Only one patient developed nephrotoxicity at 6 months after a cumulative dose of 3.33 GBq (</w:t>
                  </w:r>
                  <w:hyperlink r:id="rId267" w:anchor="26" w:history="1">
                    <w:r>
                      <w:rPr>
                        <w:rStyle w:val="Hyperlink"/>
                        <w:sz w:val="20"/>
                        <w:szCs w:val="20"/>
                      </w:rPr>
                      <w:t>26</w:t>
                    </w:r>
                  </w:hyperlink>
                  <w:r>
                    <w:rPr>
                      <w:rFonts w:ascii="Arial" w:hAnsi="Arial" w:cs="Arial"/>
                      <w:sz w:val="20"/>
                      <w:szCs w:val="20"/>
                    </w:rPr>
                    <w:t>).   Data of 92 patients of 3 different phase I studies showed 20% partial response and 60% stable disease with complete symptomatic cure of several malignant insulinoma and gastrinoma patients. Maximum cumulative dose was about 26 GBq (</w:t>
                  </w:r>
                  <w:hyperlink r:id="rId268" w:anchor="27" w:history="1">
                    <w:r>
                      <w:rPr>
                        <w:rStyle w:val="Hyperlink"/>
                        <w:sz w:val="20"/>
                        <w:szCs w:val="20"/>
                      </w:rPr>
                      <w:t>27</w:t>
                    </w:r>
                  </w:hyperlink>
                  <w:r>
                    <w:rPr>
                      <w:rFonts w:ascii="Arial" w:hAnsi="Arial" w:cs="Arial"/>
                      <w:sz w:val="20"/>
                      <w:szCs w:val="20"/>
                    </w:rPr>
                    <w:t>).</w:t>
                  </w:r>
                </w:p>
                <w:p w:rsidR="00445CA7" w:rsidRDefault="00445CA7" w:rsidP="00E13FB9">
                  <w:pPr>
                    <w:pStyle w:val="NormalWeb"/>
                    <w:framePr w:hSpace="45" w:wrap="around" w:vAnchor="text" w:hAnchor="text"/>
                    <w:jc w:val="both"/>
                    <w:rPr>
                      <w:rFonts w:ascii="Arial" w:hAnsi="Arial" w:cs="Arial"/>
                      <w:sz w:val="20"/>
                      <w:szCs w:val="20"/>
                    </w:rPr>
                  </w:pPr>
                  <w:r>
                    <w:rPr>
                      <w:rStyle w:val="Emphasis"/>
                      <w:rFonts w:ascii="Arial" w:hAnsi="Arial" w:cs="Arial"/>
                      <w:sz w:val="20"/>
                      <w:szCs w:val="20"/>
                    </w:rPr>
                    <w:t>Other radiolabelled somatostatin analogues</w:t>
                  </w:r>
                  <w:r>
                    <w:rPr>
                      <w:rFonts w:ascii="Arial" w:hAnsi="Arial" w:cs="Arial"/>
                      <w:sz w:val="20"/>
                      <w:szCs w:val="20"/>
                    </w:rPr>
                    <w:t xml:space="preserve">. Based on its high affinity for the somatostatin receptors subtypes sst2, 3, 4 and 5, a phase II trial with </w:t>
                  </w:r>
                  <w:r>
                    <w:rPr>
                      <w:rFonts w:ascii="Arial" w:hAnsi="Arial" w:cs="Arial"/>
                      <w:sz w:val="20"/>
                      <w:szCs w:val="20"/>
                      <w:vertAlign w:val="superscript"/>
                    </w:rPr>
                    <w:t>90</w:t>
                  </w:r>
                  <w:r>
                    <w:rPr>
                      <w:rFonts w:ascii="Arial" w:hAnsi="Arial" w:cs="Arial"/>
                      <w:sz w:val="20"/>
                      <w:szCs w:val="20"/>
                    </w:rPr>
                    <w:t>Y-DOTA-lanreotide in cumulative doses up to 232 mCi led to 41% stable disease and 14% regression in 154 patients with different tumor entities expressing somatostatin receptors (</w:t>
                  </w:r>
                  <w:hyperlink r:id="rId269" w:anchor="28" w:history="1">
                    <w:r>
                      <w:rPr>
                        <w:rStyle w:val="Hyperlink"/>
                        <w:sz w:val="20"/>
                        <w:szCs w:val="20"/>
                      </w:rPr>
                      <w:t>28</w:t>
                    </w:r>
                  </w:hyperlink>
                  <w:r>
                    <w:rPr>
                      <w:rFonts w:ascii="Arial" w:hAnsi="Arial" w:cs="Arial"/>
                      <w:sz w:val="20"/>
                      <w:szCs w:val="20"/>
                    </w:rPr>
                    <w:t>). Another somatostatin analog [DTPA</w:t>
                  </w:r>
                  <w:r>
                    <w:rPr>
                      <w:rFonts w:ascii="Arial" w:hAnsi="Arial" w:cs="Arial"/>
                      <w:sz w:val="20"/>
                      <w:szCs w:val="20"/>
                      <w:vertAlign w:val="superscript"/>
                    </w:rPr>
                    <w:t>0</w:t>
                  </w:r>
                  <w:r>
                    <w:rPr>
                      <w:rFonts w:ascii="Arial" w:hAnsi="Arial" w:cs="Arial"/>
                      <w:sz w:val="20"/>
                      <w:szCs w:val="20"/>
                    </w:rPr>
                    <w:t>,Tyr</w:t>
                  </w:r>
                  <w:r>
                    <w:rPr>
                      <w:rFonts w:ascii="Arial" w:hAnsi="Arial" w:cs="Arial"/>
                      <w:sz w:val="20"/>
                      <w:szCs w:val="20"/>
                      <w:vertAlign w:val="superscript"/>
                    </w:rPr>
                    <w:t>3</w:t>
                  </w:r>
                  <w:r>
                    <w:rPr>
                      <w:rFonts w:ascii="Arial" w:hAnsi="Arial" w:cs="Arial"/>
                      <w:sz w:val="20"/>
                      <w:szCs w:val="20"/>
                    </w:rPr>
                    <w:t xml:space="preserve">]octreotate (in which the C-terminal threoninol is replaced with threonine) has been labeled with the β- and γ-emitter </w:t>
                  </w:r>
                  <w:r>
                    <w:rPr>
                      <w:rFonts w:ascii="Arial" w:hAnsi="Arial" w:cs="Arial"/>
                      <w:sz w:val="20"/>
                      <w:szCs w:val="20"/>
                      <w:vertAlign w:val="superscript"/>
                    </w:rPr>
                    <w:t>177</w:t>
                  </w:r>
                  <w:r>
                    <w:rPr>
                      <w:rFonts w:ascii="Arial" w:hAnsi="Arial" w:cs="Arial"/>
                      <w:sz w:val="20"/>
                      <w:szCs w:val="20"/>
                    </w:rPr>
                    <w:t>Lu and used in a phase I study. In 18 patients with neuroendocrine malignancies &gt; 50% tumor reduction was obtained in 39%, 25%-50% in 6%, no changes in 44% and tumor progression in 11% (</w:t>
                  </w:r>
                  <w:hyperlink r:id="rId270" w:anchor="27" w:history="1">
                    <w:r>
                      <w:rPr>
                        <w:rStyle w:val="Hyperlink"/>
                        <w:sz w:val="20"/>
                        <w:szCs w:val="20"/>
                      </w:rPr>
                      <w:t>27</w:t>
                    </w:r>
                  </w:hyperlink>
                  <w:r>
                    <w:rPr>
                      <w:rFonts w:ascii="Arial" w:hAnsi="Arial" w:cs="Arial"/>
                      <w:sz w:val="20"/>
                      <w:szCs w:val="20"/>
                    </w:rPr>
                    <w:t>).</w:t>
                  </w:r>
                </w:p>
              </w:tc>
              <w:tc>
                <w:tcPr>
                  <w:tcW w:w="200" w:type="pct"/>
                  <w:hideMark/>
                </w:tcPr>
                <w:p w:rsidR="00445CA7" w:rsidRDefault="00445CA7" w:rsidP="00E13FB9">
                  <w:pPr>
                    <w:framePr w:hSpace="45" w:wrap="around" w:vAnchor="text" w:hAnchor="text"/>
                    <w:jc w:val="both"/>
                    <w:rPr>
                      <w:sz w:val="24"/>
                      <w:szCs w:val="24"/>
                    </w:rPr>
                  </w:pPr>
                  <w:r>
                    <w:lastRenderedPageBreak/>
                    <w:t> </w:t>
                  </w:r>
                </w:p>
              </w:tc>
            </w:tr>
          </w:tbl>
          <w:p w:rsidR="00445CA7" w:rsidRDefault="00445CA7" w:rsidP="00E13FB9">
            <w:pPr>
              <w:jc w:val="both"/>
              <w:rPr>
                <w:sz w:val="24"/>
                <w:szCs w:val="24"/>
              </w:rPr>
            </w:pPr>
          </w:p>
        </w:tc>
      </w:tr>
      <w:tr w:rsidR="00445CA7">
        <w:trPr>
          <w:tblCellSpacing w:w="15" w:type="dxa"/>
        </w:trPr>
        <w:tc>
          <w:tcPr>
            <w:tcW w:w="6900" w:type="dxa"/>
            <w:hideMark/>
          </w:tcPr>
          <w:tbl>
            <w:tblPr>
              <w:tblW w:w="5000" w:type="pct"/>
              <w:tblCellSpacing w:w="15" w:type="dxa"/>
              <w:tblCellMar>
                <w:top w:w="15" w:type="dxa"/>
                <w:left w:w="15" w:type="dxa"/>
                <w:bottom w:w="15" w:type="dxa"/>
                <w:right w:w="15" w:type="dxa"/>
              </w:tblCellMar>
              <w:tblLook w:val="04A0"/>
            </w:tblPr>
            <w:tblGrid>
              <w:gridCol w:w="10087"/>
              <w:gridCol w:w="463"/>
            </w:tblGrid>
            <w:tr w:rsidR="00445CA7">
              <w:trPr>
                <w:tblCellSpacing w:w="15" w:type="dxa"/>
              </w:trPr>
              <w:tc>
                <w:tcPr>
                  <w:tcW w:w="0" w:type="auto"/>
                  <w:vAlign w:val="center"/>
                  <w:hideMark/>
                </w:tcPr>
                <w:p w:rsidR="00445CA7" w:rsidRDefault="00445CA7" w:rsidP="00E13FB9">
                  <w:pPr>
                    <w:pStyle w:val="NormalWeb"/>
                    <w:framePr w:hSpace="45" w:wrap="around" w:vAnchor="text" w:hAnchor="text"/>
                    <w:jc w:val="both"/>
                  </w:pPr>
                  <w:r>
                    <w:lastRenderedPageBreak/>
                    <w:t> </w:t>
                  </w:r>
                </w:p>
              </w:tc>
              <w:tc>
                <w:tcPr>
                  <w:tcW w:w="0" w:type="auto"/>
                  <w:vAlign w:val="center"/>
                  <w:hideMark/>
                </w:tcPr>
                <w:p w:rsidR="00445CA7" w:rsidRDefault="00445CA7" w:rsidP="00E13FB9">
                  <w:pPr>
                    <w:framePr w:hSpace="45" w:wrap="around" w:vAnchor="text" w:hAnchor="text"/>
                    <w:jc w:val="both"/>
                    <w:rPr>
                      <w:sz w:val="24"/>
                      <w:szCs w:val="24"/>
                    </w:rPr>
                  </w:pPr>
                  <w:r>
                    <w:t> </w:t>
                  </w:r>
                </w:p>
              </w:tc>
            </w:tr>
            <w:tr w:rsidR="00445CA7">
              <w:trPr>
                <w:tblCellSpacing w:w="15" w:type="dxa"/>
              </w:trPr>
              <w:tc>
                <w:tcPr>
                  <w:tcW w:w="4800" w:type="pct"/>
                  <w:hideMark/>
                </w:tcPr>
                <w:p w:rsidR="00445CA7" w:rsidRDefault="00445CA7" w:rsidP="00E13FB9">
                  <w:pPr>
                    <w:pStyle w:val="NormalWeb"/>
                    <w:framePr w:hSpace="45" w:wrap="around" w:vAnchor="text" w:hAnchor="text"/>
                    <w:jc w:val="both"/>
                  </w:pPr>
                  <w:r>
                    <w:rPr>
                      <w:rFonts w:ascii="Arial" w:hAnsi="Arial" w:cs="Arial"/>
                      <w:b/>
                      <w:bCs/>
                      <w:sz w:val="20"/>
                      <w:szCs w:val="20"/>
                    </w:rPr>
                    <w:t xml:space="preserve">Logistical aspects </w:t>
                  </w:r>
                </w:p>
                <w:p w:rsidR="00445CA7" w:rsidRDefault="00445CA7" w:rsidP="00E13FB9">
                  <w:pPr>
                    <w:framePr w:hSpace="45" w:wrap="around" w:vAnchor="text" w:hAnchor="text"/>
                    <w:jc w:val="both"/>
                  </w:pPr>
                </w:p>
                <w:p w:rsidR="00445CA7" w:rsidRDefault="00445CA7" w:rsidP="00E13FB9">
                  <w:pPr>
                    <w:pStyle w:val="NormalWeb"/>
                    <w:framePr w:hSpace="45" w:wrap="around" w:vAnchor="text" w:hAnchor="text"/>
                    <w:jc w:val="both"/>
                    <w:rPr>
                      <w:rFonts w:ascii="Arial" w:hAnsi="Arial" w:cs="Arial"/>
                      <w:sz w:val="20"/>
                      <w:szCs w:val="20"/>
                    </w:rPr>
                  </w:pPr>
                  <w:r>
                    <w:rPr>
                      <w:rStyle w:val="Emphasis"/>
                      <w:rFonts w:ascii="Arial" w:hAnsi="Arial" w:cs="Arial"/>
                      <w:sz w:val="20"/>
                      <w:szCs w:val="20"/>
                    </w:rPr>
                    <w:t>Patient preparation</w:t>
                  </w:r>
                  <w:r>
                    <w:rPr>
                      <w:rFonts w:ascii="Arial" w:hAnsi="Arial" w:cs="Arial"/>
                      <w:sz w:val="20"/>
                      <w:szCs w:val="20"/>
                    </w:rPr>
                    <w:t xml:space="preserve">. Pregnancy and breast feeding are generally considered absolute contraindications for radionuclide therapy. Severe myelosuppression and severe renal failure are contraindications for </w:t>
                  </w:r>
                  <w:r>
                    <w:rPr>
                      <w:rFonts w:ascii="Arial" w:hAnsi="Arial" w:cs="Arial"/>
                      <w:sz w:val="20"/>
                      <w:szCs w:val="20"/>
                      <w:vertAlign w:val="superscript"/>
                    </w:rPr>
                    <w:t>131</w:t>
                  </w:r>
                  <w:r>
                    <w:rPr>
                      <w:rFonts w:ascii="Arial" w:hAnsi="Arial" w:cs="Arial"/>
                      <w:sz w:val="20"/>
                      <w:szCs w:val="20"/>
                    </w:rPr>
                    <w:t>I-MIBG therapy. Unstable patient condition not allowing isolation is considered as a relative contraindication.</w:t>
                  </w:r>
                  <w:r>
                    <w:rPr>
                      <w:rFonts w:ascii="Arial" w:hAnsi="Arial" w:cs="Arial"/>
                      <w:sz w:val="20"/>
                      <w:szCs w:val="20"/>
                    </w:rPr>
                    <w:br/>
                  </w:r>
                  <w:r>
                    <w:rPr>
                      <w:rFonts w:ascii="Arial" w:hAnsi="Arial" w:cs="Arial"/>
                      <w:sz w:val="20"/>
                      <w:szCs w:val="20"/>
                    </w:rPr>
                    <w:br/>
                    <w:t xml:space="preserve">Four to 6 weeks before </w:t>
                  </w:r>
                  <w:r>
                    <w:rPr>
                      <w:rFonts w:ascii="Arial" w:hAnsi="Arial" w:cs="Arial"/>
                      <w:sz w:val="20"/>
                      <w:szCs w:val="20"/>
                      <w:vertAlign w:val="superscript"/>
                    </w:rPr>
                    <w:t>131</w:t>
                  </w:r>
                  <w:r>
                    <w:rPr>
                      <w:rFonts w:ascii="Arial" w:hAnsi="Arial" w:cs="Arial"/>
                      <w:sz w:val="20"/>
                      <w:szCs w:val="20"/>
                    </w:rPr>
                    <w:t xml:space="preserve">I therapy thyroid hormone medication must be discontinued. A low-iodide diet for a period of 4-10 days before </w:t>
                  </w:r>
                  <w:r>
                    <w:rPr>
                      <w:rFonts w:ascii="Arial" w:hAnsi="Arial" w:cs="Arial"/>
                      <w:sz w:val="20"/>
                      <w:szCs w:val="20"/>
                      <w:vertAlign w:val="superscript"/>
                    </w:rPr>
                    <w:t>131</w:t>
                  </w:r>
                  <w:r>
                    <w:rPr>
                      <w:rFonts w:ascii="Arial" w:hAnsi="Arial" w:cs="Arial"/>
                      <w:sz w:val="20"/>
                      <w:szCs w:val="20"/>
                    </w:rPr>
                    <w:t xml:space="preserve">I administration is also recommended. Any other iodide-containing preparation (e.g. expectorants, kelp, agar, carrageen, Lugol's solution, potassium iodide solution, topical iodine, radiographic contrast agents) that potentially may affect </w:t>
                  </w:r>
                  <w:r>
                    <w:rPr>
                      <w:rFonts w:ascii="Arial" w:hAnsi="Arial" w:cs="Arial"/>
                      <w:sz w:val="20"/>
                      <w:szCs w:val="20"/>
                      <w:vertAlign w:val="superscript"/>
                    </w:rPr>
                    <w:t>131</w:t>
                  </w:r>
                  <w:r>
                    <w:rPr>
                      <w:rFonts w:ascii="Arial" w:hAnsi="Arial" w:cs="Arial"/>
                      <w:sz w:val="20"/>
                      <w:szCs w:val="20"/>
                    </w:rPr>
                    <w:t>I uptake must be discontinued or avoided.</w:t>
                  </w:r>
                  <w:r>
                    <w:rPr>
                      <w:rFonts w:ascii="Arial" w:hAnsi="Arial" w:cs="Arial"/>
                      <w:sz w:val="20"/>
                      <w:szCs w:val="20"/>
                    </w:rPr>
                    <w:br/>
                  </w:r>
                  <w:r>
                    <w:rPr>
                      <w:rFonts w:ascii="Arial" w:hAnsi="Arial" w:cs="Arial"/>
                      <w:sz w:val="20"/>
                      <w:szCs w:val="20"/>
                    </w:rPr>
                    <w:br/>
                    <w:t xml:space="preserve">With respect to </w:t>
                  </w:r>
                  <w:r>
                    <w:rPr>
                      <w:rFonts w:ascii="Arial" w:hAnsi="Arial" w:cs="Arial"/>
                      <w:sz w:val="20"/>
                      <w:szCs w:val="20"/>
                      <w:vertAlign w:val="superscript"/>
                    </w:rPr>
                    <w:t>131</w:t>
                  </w:r>
                  <w:r>
                    <w:rPr>
                      <w:rFonts w:ascii="Arial" w:hAnsi="Arial" w:cs="Arial"/>
                      <w:sz w:val="20"/>
                      <w:szCs w:val="20"/>
                    </w:rPr>
                    <w:t xml:space="preserve">I-MIBG drugs such as labetalol, reserpine, calcium-channel blockers, trycyclic antidepressants, ephinedrine, and adrenergic blocking agents may interfere </w:t>
                  </w:r>
                  <w:r>
                    <w:rPr>
                      <w:rFonts w:ascii="Arial" w:hAnsi="Arial" w:cs="Arial"/>
                      <w:sz w:val="20"/>
                      <w:szCs w:val="20"/>
                      <w:vertAlign w:val="superscript"/>
                    </w:rPr>
                    <w:t>131</w:t>
                  </w:r>
                  <w:r>
                    <w:rPr>
                      <w:rFonts w:ascii="Arial" w:hAnsi="Arial" w:cs="Arial"/>
                      <w:sz w:val="20"/>
                      <w:szCs w:val="20"/>
                    </w:rPr>
                    <w:t xml:space="preserve">I-MIBG uptake and must be discontinued before therapy. In order to prevent thyroid uptake of free </w:t>
                  </w:r>
                  <w:r>
                    <w:rPr>
                      <w:rFonts w:ascii="Arial" w:hAnsi="Arial" w:cs="Arial"/>
                      <w:sz w:val="20"/>
                      <w:szCs w:val="20"/>
                      <w:vertAlign w:val="superscript"/>
                    </w:rPr>
                    <w:t>131</w:t>
                  </w:r>
                  <w:r>
                    <w:rPr>
                      <w:rFonts w:ascii="Arial" w:hAnsi="Arial" w:cs="Arial"/>
                      <w:sz w:val="20"/>
                      <w:szCs w:val="20"/>
                    </w:rPr>
                    <w:t xml:space="preserve">I 100 (children) to 200 (adults) mg potassium iodide must be daily given from one day before </w:t>
                  </w:r>
                  <w:r>
                    <w:rPr>
                      <w:rFonts w:ascii="Arial" w:hAnsi="Arial" w:cs="Arial"/>
                      <w:sz w:val="20"/>
                      <w:szCs w:val="20"/>
                      <w:vertAlign w:val="superscript"/>
                    </w:rPr>
                    <w:t>131</w:t>
                  </w:r>
                  <w:r>
                    <w:rPr>
                      <w:rFonts w:ascii="Arial" w:hAnsi="Arial" w:cs="Arial"/>
                      <w:sz w:val="20"/>
                      <w:szCs w:val="20"/>
                    </w:rPr>
                    <w:t>I-MIBG to 2-3 weeks after treatment.</w:t>
                  </w:r>
                  <w:r>
                    <w:rPr>
                      <w:rFonts w:ascii="Arial" w:hAnsi="Arial" w:cs="Arial"/>
                      <w:sz w:val="20"/>
                      <w:szCs w:val="20"/>
                    </w:rPr>
                    <w:br/>
                  </w:r>
                  <w:r>
                    <w:rPr>
                      <w:rFonts w:ascii="Arial" w:hAnsi="Arial" w:cs="Arial"/>
                      <w:sz w:val="20"/>
                      <w:szCs w:val="20"/>
                    </w:rPr>
                    <w:br/>
                    <w:t xml:space="preserve">Concerning therapy with radiolabeled somatostatine analogues discontinuation in the administration of </w:t>
                  </w:r>
                  <w:r>
                    <w:rPr>
                      <w:rFonts w:ascii="Arial" w:hAnsi="Arial" w:cs="Arial"/>
                      <w:sz w:val="20"/>
                      <w:szCs w:val="20"/>
                    </w:rPr>
                    <w:lastRenderedPageBreak/>
                    <w:t>somatostatine analogues such as octreotide would be considered.</w:t>
                  </w:r>
                  <w:r>
                    <w:rPr>
                      <w:rFonts w:ascii="Arial" w:hAnsi="Arial" w:cs="Arial"/>
                      <w:sz w:val="20"/>
                      <w:szCs w:val="20"/>
                    </w:rPr>
                    <w:br/>
                  </w:r>
                  <w:r>
                    <w:rPr>
                      <w:rFonts w:ascii="Arial" w:hAnsi="Arial" w:cs="Arial"/>
                      <w:sz w:val="20"/>
                      <w:szCs w:val="20"/>
                    </w:rPr>
                    <w:br/>
                  </w:r>
                  <w:r>
                    <w:rPr>
                      <w:rStyle w:val="Emphasis"/>
                      <w:rFonts w:ascii="Arial" w:hAnsi="Arial" w:cs="Arial"/>
                      <w:sz w:val="20"/>
                      <w:szCs w:val="20"/>
                    </w:rPr>
                    <w:t>Radiopharmaceutical administration.</w:t>
                  </w:r>
                  <w:r>
                    <w:rPr>
                      <w:rFonts w:ascii="Arial" w:hAnsi="Arial" w:cs="Arial"/>
                      <w:sz w:val="20"/>
                      <w:szCs w:val="20"/>
                    </w:rPr>
                    <w:t xml:space="preserve"> Quality control of the used radiopharmaceuticals prior to the administration checking both the radionuclide and radiochemical purity is essential. Impurities will not contribute to the tumor targeting but may add to the side effects of such a treatment. Relatively high doses of radioiodinated pharmaceuticals such as MIBG with a high specific activity may undergo autoradiolysis (depending on the temperature, volume and presence of stabilizers and scavengers in the formulation) and too much free </w:t>
                  </w:r>
                  <w:r>
                    <w:rPr>
                      <w:rFonts w:ascii="Arial" w:hAnsi="Arial" w:cs="Arial"/>
                      <w:sz w:val="20"/>
                      <w:szCs w:val="20"/>
                      <w:vertAlign w:val="superscript"/>
                    </w:rPr>
                    <w:t>131</w:t>
                  </w:r>
                  <w:r>
                    <w:rPr>
                      <w:rFonts w:ascii="Arial" w:hAnsi="Arial" w:cs="Arial"/>
                      <w:sz w:val="20"/>
                      <w:szCs w:val="20"/>
                    </w:rPr>
                    <w:t>I (&gt; 5%) may result in some radioiodine thyroid uptake despite blocking with potassium iodide.</w:t>
                  </w:r>
                  <w:r>
                    <w:rPr>
                      <w:rFonts w:ascii="Arial" w:hAnsi="Arial" w:cs="Arial"/>
                      <w:sz w:val="20"/>
                      <w:szCs w:val="20"/>
                    </w:rPr>
                    <w:br/>
                  </w:r>
                  <w:r>
                    <w:rPr>
                      <w:rFonts w:ascii="Arial" w:hAnsi="Arial" w:cs="Arial"/>
                      <w:sz w:val="20"/>
                      <w:szCs w:val="20"/>
                    </w:rPr>
                    <w:br/>
                    <w:t xml:space="preserve">Therapeutic </w:t>
                  </w:r>
                  <w:r>
                    <w:rPr>
                      <w:rFonts w:ascii="Arial" w:hAnsi="Arial" w:cs="Arial"/>
                      <w:sz w:val="20"/>
                      <w:szCs w:val="20"/>
                      <w:vertAlign w:val="superscript"/>
                    </w:rPr>
                    <w:t>131</w:t>
                  </w:r>
                  <w:r>
                    <w:rPr>
                      <w:rFonts w:ascii="Arial" w:hAnsi="Arial" w:cs="Arial"/>
                      <w:sz w:val="20"/>
                      <w:szCs w:val="20"/>
                    </w:rPr>
                    <w:t>I can be given in capsule or liquid form or is administered intravenously in patients who are prone to vomit. To increase salivary flow patients would be asked to chew gum or suck citrus sweets during the first 48 hours. Also hydration and at least one bowel movement daily are important to reduce bladder and colon radiation exposure.</w:t>
                  </w:r>
                  <w:r>
                    <w:rPr>
                      <w:rFonts w:ascii="Arial" w:hAnsi="Arial" w:cs="Arial"/>
                      <w:sz w:val="20"/>
                      <w:szCs w:val="20"/>
                    </w:rPr>
                    <w:br/>
                  </w:r>
                  <w:r>
                    <w:rPr>
                      <w:rFonts w:ascii="Arial" w:hAnsi="Arial" w:cs="Arial"/>
                      <w:sz w:val="20"/>
                      <w:szCs w:val="20"/>
                    </w:rPr>
                    <w:br/>
                    <w:t xml:space="preserve">For </w:t>
                  </w:r>
                  <w:r>
                    <w:rPr>
                      <w:rFonts w:ascii="Arial" w:hAnsi="Arial" w:cs="Arial"/>
                      <w:sz w:val="20"/>
                      <w:szCs w:val="20"/>
                      <w:vertAlign w:val="superscript"/>
                    </w:rPr>
                    <w:t>131</w:t>
                  </w:r>
                  <w:r>
                    <w:rPr>
                      <w:rFonts w:ascii="Arial" w:hAnsi="Arial" w:cs="Arial"/>
                      <w:sz w:val="20"/>
                      <w:szCs w:val="20"/>
                    </w:rPr>
                    <w:t xml:space="preserve">I-MIBG therapy the radiopharmaceutical is administered intravenously over 1 to 4 hours in 50-100 ml saline or glucose solution through a lead-shielding infusion system. Flushing of the line at the end of the infusion is necessary. Hydration of the patient following </w:t>
                  </w:r>
                  <w:r>
                    <w:rPr>
                      <w:rFonts w:ascii="Arial" w:hAnsi="Arial" w:cs="Arial"/>
                      <w:sz w:val="20"/>
                      <w:szCs w:val="20"/>
                      <w:vertAlign w:val="superscript"/>
                    </w:rPr>
                    <w:t>131</w:t>
                  </w:r>
                  <w:r>
                    <w:rPr>
                      <w:rFonts w:ascii="Arial" w:hAnsi="Arial" w:cs="Arial"/>
                      <w:sz w:val="20"/>
                      <w:szCs w:val="20"/>
                    </w:rPr>
                    <w:t xml:space="preserve">I-MIBG is important to reduce radiation exposure. Dibeniline and propanolol should be available in case of hypertensive crises in patients with pheochromocytoma. Often these patients are receiving these drugs in the week before </w:t>
                  </w:r>
                  <w:r>
                    <w:rPr>
                      <w:rFonts w:ascii="Arial" w:hAnsi="Arial" w:cs="Arial"/>
                      <w:sz w:val="20"/>
                      <w:szCs w:val="20"/>
                      <w:vertAlign w:val="superscript"/>
                    </w:rPr>
                    <w:t>131</w:t>
                  </w:r>
                  <w:r>
                    <w:rPr>
                      <w:rFonts w:ascii="Arial" w:hAnsi="Arial" w:cs="Arial"/>
                      <w:sz w:val="20"/>
                      <w:szCs w:val="20"/>
                    </w:rPr>
                    <w:t>I-MIBG therapy. In carcinoid patients octreotide by subcutaneous administration may be used in case of flushing. Anti-emetics not interfering with MIBG such as Motilium (Domperidon) may be used in case of nausea.</w:t>
                  </w:r>
                  <w:r>
                    <w:rPr>
                      <w:rFonts w:ascii="Arial" w:hAnsi="Arial" w:cs="Arial"/>
                      <w:sz w:val="20"/>
                      <w:szCs w:val="20"/>
                    </w:rPr>
                    <w:br/>
                  </w:r>
                  <w:r>
                    <w:rPr>
                      <w:rFonts w:ascii="Arial" w:hAnsi="Arial" w:cs="Arial"/>
                      <w:sz w:val="20"/>
                      <w:szCs w:val="20"/>
                    </w:rPr>
                    <w:br/>
                    <w:t>For therapy radiolabeled somatostatin analogues have been administered intravenously in infusion volumes of 80-100 ml over a period of 10 to 15 min. Co-infusion of amino acids have been recommended to reduce kidney uptake (</w:t>
                  </w:r>
                  <w:hyperlink r:id="rId271" w:anchor="29" w:history="1">
                    <w:r>
                      <w:rPr>
                        <w:rStyle w:val="Hyperlink"/>
                        <w:sz w:val="20"/>
                        <w:szCs w:val="20"/>
                      </w:rPr>
                      <w:t>29</w:t>
                    </w:r>
                  </w:hyperlink>
                  <w:r>
                    <w:rPr>
                      <w:rFonts w:ascii="Arial" w:hAnsi="Arial" w:cs="Arial"/>
                      <w:sz w:val="20"/>
                      <w:szCs w:val="20"/>
                    </w:rPr>
                    <w:t>).</w:t>
                  </w:r>
                  <w:r>
                    <w:rPr>
                      <w:rFonts w:ascii="Arial" w:hAnsi="Arial" w:cs="Arial"/>
                      <w:sz w:val="20"/>
                      <w:szCs w:val="20"/>
                    </w:rPr>
                    <w:br/>
                  </w:r>
                  <w:r>
                    <w:rPr>
                      <w:rFonts w:ascii="Arial" w:hAnsi="Arial" w:cs="Arial"/>
                      <w:sz w:val="20"/>
                      <w:szCs w:val="20"/>
                    </w:rPr>
                    <w:br/>
                  </w:r>
                  <w:r>
                    <w:rPr>
                      <w:rStyle w:val="Emphasis"/>
                      <w:rFonts w:ascii="Arial" w:hAnsi="Arial" w:cs="Arial"/>
                      <w:sz w:val="20"/>
                      <w:szCs w:val="20"/>
                    </w:rPr>
                    <w:t>Isolation facilities</w:t>
                  </w:r>
                  <w:r>
                    <w:rPr>
                      <w:rFonts w:ascii="Arial" w:hAnsi="Arial" w:cs="Arial"/>
                      <w:sz w:val="20"/>
                      <w:szCs w:val="20"/>
                    </w:rPr>
                    <w:t>. The availability and licensing of radiation protected isolation as well as the necessity of guidelines for radiation protection are important logistical factors to enable that radionuclide therapy becomes safe both for the patient and for relatives, personnel and the enviroment. An European survey demonstrated that there is considerable variation between countries in radionuclide therapeutic procedures, depending on local legislation and the requirement and availability of isolation facilities (</w:t>
                  </w:r>
                  <w:hyperlink r:id="rId272" w:anchor="30" w:history="1">
                    <w:r>
                      <w:rPr>
                        <w:rStyle w:val="Hyperlink"/>
                        <w:sz w:val="20"/>
                        <w:szCs w:val="20"/>
                      </w:rPr>
                      <w:t>30</w:t>
                    </w:r>
                  </w:hyperlink>
                  <w:r>
                    <w:rPr>
                      <w:rFonts w:ascii="Arial" w:hAnsi="Arial" w:cs="Arial"/>
                      <w:sz w:val="20"/>
                      <w:szCs w:val="20"/>
                    </w:rPr>
                    <w:t>). Patients must be instructed how to reduce unnecessary radiation exposure to family members and members of the public. Particularly, when children need to be isolated, parents or other relatives are directly involved in child's patient care and need to be instructed for issues of radiation protection during isolation and in the period thereafter.</w:t>
                  </w:r>
                </w:p>
              </w:tc>
              <w:tc>
                <w:tcPr>
                  <w:tcW w:w="200" w:type="pct"/>
                  <w:hideMark/>
                </w:tcPr>
                <w:p w:rsidR="00445CA7" w:rsidRDefault="00445CA7" w:rsidP="00E13FB9">
                  <w:pPr>
                    <w:framePr w:hSpace="45" w:wrap="around" w:vAnchor="text" w:hAnchor="text"/>
                    <w:jc w:val="both"/>
                    <w:rPr>
                      <w:sz w:val="24"/>
                      <w:szCs w:val="24"/>
                    </w:rPr>
                  </w:pPr>
                  <w:r>
                    <w:lastRenderedPageBreak/>
                    <w:t> </w:t>
                  </w:r>
                </w:p>
              </w:tc>
            </w:tr>
          </w:tbl>
          <w:p w:rsidR="00445CA7" w:rsidRDefault="00445CA7" w:rsidP="00E13FB9">
            <w:pPr>
              <w:jc w:val="both"/>
              <w:rPr>
                <w:sz w:val="24"/>
                <w:szCs w:val="24"/>
              </w:rPr>
            </w:pPr>
          </w:p>
        </w:tc>
      </w:tr>
      <w:tr w:rsidR="00445CA7">
        <w:trPr>
          <w:tblCellSpacing w:w="15" w:type="dxa"/>
        </w:trPr>
        <w:tc>
          <w:tcPr>
            <w:tcW w:w="6900" w:type="dxa"/>
            <w:hideMark/>
          </w:tcPr>
          <w:tbl>
            <w:tblPr>
              <w:tblW w:w="5000" w:type="pct"/>
              <w:tblCellSpacing w:w="15" w:type="dxa"/>
              <w:tblCellMar>
                <w:top w:w="15" w:type="dxa"/>
                <w:left w:w="15" w:type="dxa"/>
                <w:bottom w:w="15" w:type="dxa"/>
                <w:right w:w="15" w:type="dxa"/>
              </w:tblCellMar>
              <w:tblLook w:val="04A0"/>
            </w:tblPr>
            <w:tblGrid>
              <w:gridCol w:w="10087"/>
              <w:gridCol w:w="463"/>
            </w:tblGrid>
            <w:tr w:rsidR="00445CA7">
              <w:trPr>
                <w:tblCellSpacing w:w="15" w:type="dxa"/>
              </w:trPr>
              <w:tc>
                <w:tcPr>
                  <w:tcW w:w="0" w:type="auto"/>
                  <w:vAlign w:val="center"/>
                  <w:hideMark/>
                </w:tcPr>
                <w:p w:rsidR="00445CA7" w:rsidRDefault="00445CA7" w:rsidP="00E13FB9">
                  <w:pPr>
                    <w:pStyle w:val="NormalWeb"/>
                    <w:framePr w:hSpace="45" w:wrap="around" w:vAnchor="text" w:hAnchor="text"/>
                    <w:jc w:val="both"/>
                  </w:pPr>
                  <w:r>
                    <w:lastRenderedPageBreak/>
                    <w:t> </w:t>
                  </w:r>
                </w:p>
              </w:tc>
              <w:tc>
                <w:tcPr>
                  <w:tcW w:w="0" w:type="auto"/>
                  <w:vAlign w:val="center"/>
                  <w:hideMark/>
                </w:tcPr>
                <w:p w:rsidR="00445CA7" w:rsidRDefault="00445CA7" w:rsidP="00E13FB9">
                  <w:pPr>
                    <w:framePr w:hSpace="45" w:wrap="around" w:vAnchor="text" w:hAnchor="text"/>
                    <w:jc w:val="both"/>
                    <w:rPr>
                      <w:sz w:val="24"/>
                      <w:szCs w:val="24"/>
                    </w:rPr>
                  </w:pPr>
                  <w:r>
                    <w:t> </w:t>
                  </w:r>
                </w:p>
              </w:tc>
            </w:tr>
            <w:tr w:rsidR="00445CA7">
              <w:trPr>
                <w:tblCellSpacing w:w="15" w:type="dxa"/>
              </w:trPr>
              <w:tc>
                <w:tcPr>
                  <w:tcW w:w="4800" w:type="pct"/>
                  <w:hideMark/>
                </w:tcPr>
                <w:p w:rsidR="00445CA7" w:rsidRDefault="00445CA7" w:rsidP="00E13FB9">
                  <w:pPr>
                    <w:pStyle w:val="NormalWeb"/>
                    <w:framePr w:hSpace="45" w:wrap="around" w:vAnchor="text" w:hAnchor="text"/>
                    <w:jc w:val="both"/>
                  </w:pPr>
                  <w:r>
                    <w:rPr>
                      <w:rFonts w:ascii="Arial" w:hAnsi="Arial" w:cs="Arial"/>
                      <w:b/>
                      <w:bCs/>
                      <w:sz w:val="20"/>
                      <w:szCs w:val="20"/>
                    </w:rPr>
                    <w:t xml:space="preserve">References </w:t>
                  </w:r>
                </w:p>
                <w:p w:rsidR="00445CA7" w:rsidRDefault="00445CA7" w:rsidP="00E13FB9">
                  <w:pPr>
                    <w:framePr w:hSpace="45" w:wrap="around" w:vAnchor="text" w:hAnchor="text"/>
                    <w:jc w:val="both"/>
                  </w:pPr>
                </w:p>
                <w:tbl>
                  <w:tblPr>
                    <w:tblW w:w="4950" w:type="pct"/>
                    <w:tblCellSpacing w:w="15" w:type="dxa"/>
                    <w:tblCellMar>
                      <w:top w:w="90" w:type="dxa"/>
                      <w:left w:w="90" w:type="dxa"/>
                      <w:bottom w:w="90" w:type="dxa"/>
                      <w:right w:w="90" w:type="dxa"/>
                    </w:tblCellMar>
                    <w:tblLook w:val="04A0"/>
                  </w:tblPr>
                  <w:tblGrid>
                    <w:gridCol w:w="340"/>
                    <w:gridCol w:w="9572"/>
                  </w:tblGrid>
                  <w:tr w:rsidR="00445CA7">
                    <w:trPr>
                      <w:tblCellSpacing w:w="15" w:type="dxa"/>
                    </w:trPr>
                    <w:tc>
                      <w:tcPr>
                        <w:tcW w:w="150" w:type="pct"/>
                        <w:hideMark/>
                      </w:tcPr>
                      <w:p w:rsidR="00445CA7" w:rsidRDefault="00445CA7" w:rsidP="00E13FB9">
                        <w:pPr>
                          <w:pStyle w:val="NormalWeb"/>
                          <w:framePr w:hSpace="45" w:wrap="around" w:vAnchor="text" w:hAnchor="text"/>
                          <w:jc w:val="both"/>
                        </w:pPr>
                        <w:bookmarkStart w:id="45" w:name="1"/>
                        <w:bookmarkEnd w:id="45"/>
                        <w:r>
                          <w:rPr>
                            <w:rFonts w:ascii="Arial" w:hAnsi="Arial" w:cs="Arial"/>
                            <w:sz w:val="20"/>
                            <w:szCs w:val="20"/>
                          </w:rPr>
                          <w:t>1</w:t>
                        </w:r>
                      </w:p>
                    </w:tc>
                    <w:tc>
                      <w:tcPr>
                        <w:tcW w:w="4850" w:type="pct"/>
                        <w:hideMark/>
                      </w:tcPr>
                      <w:p w:rsidR="00445CA7" w:rsidRDefault="00445CA7" w:rsidP="00E13FB9">
                        <w:pPr>
                          <w:pStyle w:val="NormalWeb"/>
                          <w:framePr w:hSpace="45" w:wrap="around" w:vAnchor="text" w:hAnchor="text"/>
                          <w:jc w:val="both"/>
                        </w:pPr>
                        <w:r>
                          <w:rPr>
                            <w:rFonts w:ascii="Arial" w:hAnsi="Arial" w:cs="Arial"/>
                            <w:sz w:val="20"/>
                            <w:szCs w:val="20"/>
                          </w:rPr>
                          <w:t>Klain M, Ricard M, Leboulleux S, Baudin E, Schlumberger M. Radioiodine therapy for papillary and follicular thyroid carcinoma. Eur J Nucl Med 2002, on line.</w:t>
                        </w:r>
                        <w:r>
                          <w:rPr>
                            <w:rFonts w:ascii="Arial" w:hAnsi="Arial" w:cs="Arial"/>
                            <w:sz w:val="20"/>
                            <w:szCs w:val="20"/>
                          </w:rPr>
                          <w:br/>
                        </w:r>
                        <w:hyperlink r:id="rId273" w:history="1">
                          <w:r>
                            <w:rPr>
                              <w:rStyle w:val="Hyperlink"/>
                              <w:sz w:val="20"/>
                              <w:szCs w:val="20"/>
                            </w:rPr>
                            <w:t>back to</w:t>
                          </w:r>
                        </w:hyperlink>
                      </w:p>
                    </w:tc>
                  </w:tr>
                  <w:tr w:rsidR="00445CA7">
                    <w:trPr>
                      <w:tblCellSpacing w:w="15" w:type="dxa"/>
                    </w:trPr>
                    <w:tc>
                      <w:tcPr>
                        <w:tcW w:w="150" w:type="pct"/>
                        <w:hideMark/>
                      </w:tcPr>
                      <w:p w:rsidR="00445CA7" w:rsidRDefault="00445CA7" w:rsidP="00E13FB9">
                        <w:pPr>
                          <w:pStyle w:val="NormalWeb"/>
                          <w:framePr w:hSpace="45" w:wrap="around" w:vAnchor="text" w:hAnchor="text"/>
                          <w:jc w:val="both"/>
                        </w:pPr>
                        <w:bookmarkStart w:id="46" w:name="2"/>
                        <w:bookmarkEnd w:id="46"/>
                        <w:r>
                          <w:rPr>
                            <w:rFonts w:ascii="Arial" w:hAnsi="Arial" w:cs="Arial"/>
                            <w:sz w:val="20"/>
                            <w:szCs w:val="20"/>
                          </w:rPr>
                          <w:t>2</w:t>
                        </w:r>
                      </w:p>
                    </w:tc>
                    <w:tc>
                      <w:tcPr>
                        <w:tcW w:w="4850" w:type="pct"/>
                        <w:hideMark/>
                      </w:tcPr>
                      <w:p w:rsidR="00445CA7" w:rsidRDefault="00445CA7" w:rsidP="00E13FB9">
                        <w:pPr>
                          <w:pStyle w:val="NormalWeb"/>
                          <w:framePr w:hSpace="45" w:wrap="around" w:vAnchor="text" w:hAnchor="text"/>
                          <w:jc w:val="both"/>
                        </w:pPr>
                        <w:r w:rsidRPr="00445CA7">
                          <w:rPr>
                            <w:rFonts w:ascii="Arial" w:hAnsi="Arial" w:cs="Arial"/>
                            <w:sz w:val="20"/>
                            <w:szCs w:val="20"/>
                            <w:lang w:val="nn-NO"/>
                          </w:rPr>
                          <w:t xml:space="preserve">Meier DA, Brill DR, Becker DV, Clarke SEM, Silberstein EB, Royal HD, Balon HR. </w:t>
                        </w:r>
                        <w:r>
                          <w:rPr>
                            <w:rFonts w:ascii="Arial" w:hAnsi="Arial" w:cs="Arial"/>
                            <w:sz w:val="20"/>
                            <w:szCs w:val="20"/>
                          </w:rPr>
                          <w:t>Procedure guidelines for therapy of thyroid disease with 131Iodine. J Nucl Med 2002; 43: 856-861.</w:t>
                        </w:r>
                        <w:r>
                          <w:rPr>
                            <w:rFonts w:ascii="Arial" w:hAnsi="Arial" w:cs="Arial"/>
                            <w:sz w:val="20"/>
                            <w:szCs w:val="20"/>
                          </w:rPr>
                          <w:br/>
                        </w:r>
                        <w:hyperlink r:id="rId274" w:history="1">
                          <w:r>
                            <w:rPr>
                              <w:rStyle w:val="Hyperlink"/>
                              <w:sz w:val="20"/>
                              <w:szCs w:val="20"/>
                            </w:rPr>
                            <w:t>back to</w:t>
                          </w:r>
                        </w:hyperlink>
                      </w:p>
                    </w:tc>
                  </w:tr>
                  <w:tr w:rsidR="00445CA7">
                    <w:trPr>
                      <w:tblCellSpacing w:w="15" w:type="dxa"/>
                    </w:trPr>
                    <w:tc>
                      <w:tcPr>
                        <w:tcW w:w="150" w:type="pct"/>
                        <w:hideMark/>
                      </w:tcPr>
                      <w:p w:rsidR="00445CA7" w:rsidRDefault="00445CA7" w:rsidP="00E13FB9">
                        <w:pPr>
                          <w:pStyle w:val="NormalWeb"/>
                          <w:framePr w:hSpace="45" w:wrap="around" w:vAnchor="text" w:hAnchor="text"/>
                          <w:jc w:val="both"/>
                        </w:pPr>
                        <w:bookmarkStart w:id="47" w:name="3"/>
                        <w:bookmarkEnd w:id="47"/>
                        <w:r>
                          <w:rPr>
                            <w:rFonts w:ascii="Arial" w:hAnsi="Arial" w:cs="Arial"/>
                            <w:sz w:val="20"/>
                            <w:szCs w:val="20"/>
                          </w:rPr>
                          <w:t>3</w:t>
                        </w:r>
                      </w:p>
                    </w:tc>
                    <w:tc>
                      <w:tcPr>
                        <w:tcW w:w="4850" w:type="pct"/>
                        <w:hideMark/>
                      </w:tcPr>
                      <w:p w:rsidR="00445CA7" w:rsidRDefault="00445CA7" w:rsidP="00E13FB9">
                        <w:pPr>
                          <w:pStyle w:val="NormalWeb"/>
                          <w:framePr w:hSpace="45" w:wrap="around" w:vAnchor="text" w:hAnchor="text"/>
                          <w:jc w:val="both"/>
                        </w:pPr>
                        <w:r>
                          <w:rPr>
                            <w:rFonts w:ascii="Arial" w:hAnsi="Arial" w:cs="Arial"/>
                            <w:sz w:val="20"/>
                            <w:szCs w:val="20"/>
                          </w:rPr>
                          <w:t>Varma VM, Beierwaltes WH, Nofal MM, Nishiyama RH, Copp JE. Treatment of thyroid cancer: death rates after surgery and after surgery followed by sodium iodide I-131. JAMA 1970; 214:1437-1442.</w:t>
                        </w:r>
                        <w:r>
                          <w:rPr>
                            <w:rFonts w:ascii="Arial" w:hAnsi="Arial" w:cs="Arial"/>
                            <w:sz w:val="20"/>
                            <w:szCs w:val="20"/>
                          </w:rPr>
                          <w:br/>
                        </w:r>
                        <w:hyperlink r:id="rId275" w:history="1">
                          <w:r>
                            <w:rPr>
                              <w:rStyle w:val="Hyperlink"/>
                              <w:sz w:val="20"/>
                              <w:szCs w:val="20"/>
                            </w:rPr>
                            <w:t>back to</w:t>
                          </w:r>
                        </w:hyperlink>
                      </w:p>
                    </w:tc>
                  </w:tr>
                </w:tbl>
                <w:p w:rsidR="00445CA7" w:rsidRDefault="00445CA7" w:rsidP="00E13FB9">
                  <w:pPr>
                    <w:framePr w:hSpace="45" w:wrap="around" w:vAnchor="text" w:hAnchor="text"/>
                    <w:jc w:val="both"/>
                    <w:rPr>
                      <w:rFonts w:ascii="Arial" w:hAnsi="Arial" w:cs="Arial"/>
                      <w:sz w:val="20"/>
                      <w:szCs w:val="20"/>
                    </w:rPr>
                  </w:pPr>
                  <w:r>
                    <w:rPr>
                      <w:rFonts w:ascii="Arial" w:hAnsi="Arial" w:cs="Arial"/>
                      <w:sz w:val="20"/>
                      <w:szCs w:val="20"/>
                    </w:rPr>
                    <w:t>##</w:t>
                  </w:r>
                </w:p>
                <w:p w:rsidR="00445CA7" w:rsidRDefault="00445CA7" w:rsidP="00E13FB9">
                  <w:pPr>
                    <w:framePr w:hSpace="45" w:wrap="around" w:vAnchor="text" w:hAnchor="text"/>
                    <w:jc w:val="both"/>
                    <w:rPr>
                      <w:rFonts w:ascii="Arial" w:hAnsi="Arial" w:cs="Arial"/>
                      <w:sz w:val="20"/>
                      <w:szCs w:val="20"/>
                    </w:rPr>
                  </w:pPr>
                </w:p>
                <w:p w:rsidR="00445CA7" w:rsidRDefault="00445CA7" w:rsidP="00E13FB9">
                  <w:pPr>
                    <w:framePr w:hSpace="45" w:wrap="around" w:vAnchor="text" w:hAnchor="text"/>
                    <w:jc w:val="both"/>
                    <w:rPr>
                      <w:rFonts w:ascii="Arial" w:hAnsi="Arial" w:cs="Arial"/>
                      <w:sz w:val="20"/>
                      <w:szCs w:val="20"/>
                    </w:rPr>
                  </w:pPr>
                </w:p>
              </w:tc>
              <w:tc>
                <w:tcPr>
                  <w:tcW w:w="0" w:type="auto"/>
                  <w:vAlign w:val="center"/>
                  <w:hideMark/>
                </w:tcPr>
                <w:p w:rsidR="00445CA7" w:rsidRDefault="00445CA7" w:rsidP="00E13FB9">
                  <w:pPr>
                    <w:framePr w:hSpace="45" w:wrap="around" w:vAnchor="text" w:hAnchor="text"/>
                    <w:jc w:val="both"/>
                    <w:rPr>
                      <w:sz w:val="20"/>
                      <w:szCs w:val="20"/>
                    </w:rPr>
                  </w:pPr>
                </w:p>
              </w:tc>
            </w:tr>
          </w:tbl>
          <w:p w:rsidR="00445CA7" w:rsidRDefault="00445CA7" w:rsidP="00E13FB9">
            <w:pPr>
              <w:jc w:val="both"/>
              <w:rPr>
                <w:sz w:val="24"/>
                <w:szCs w:val="24"/>
              </w:rPr>
            </w:pPr>
          </w:p>
        </w:tc>
      </w:tr>
    </w:tbl>
    <w:p w:rsidR="00445CA7" w:rsidRDefault="00445CA7" w:rsidP="00E13FB9">
      <w:pPr>
        <w:jc w:val="both"/>
      </w:pPr>
    </w:p>
    <w:sectPr w:rsidR="00445CA7" w:rsidSect="00E13FB9">
      <w:footerReference w:type="default" r:id="rId27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116" w:rsidRDefault="00C14116" w:rsidP="00A60CEE">
      <w:pPr>
        <w:spacing w:after="0" w:line="240" w:lineRule="auto"/>
      </w:pPr>
      <w:r>
        <w:separator/>
      </w:r>
    </w:p>
  </w:endnote>
  <w:endnote w:type="continuationSeparator" w:id="1">
    <w:p w:rsidR="00C14116" w:rsidRDefault="00C14116" w:rsidP="00A60C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Garamond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188"/>
      <w:docPartObj>
        <w:docPartGallery w:val="Page Numbers (Bottom of Page)"/>
        <w:docPartUnique/>
      </w:docPartObj>
    </w:sdtPr>
    <w:sdtContent>
      <w:p w:rsidR="00E13FB9" w:rsidRDefault="000F5824">
        <w:pPr>
          <w:pStyle w:val="Footer"/>
          <w:jc w:val="right"/>
        </w:pPr>
        <w:fldSimple w:instr=" PAGE   \* MERGEFORMAT ">
          <w:r w:rsidR="00FE174D">
            <w:rPr>
              <w:noProof/>
            </w:rPr>
            <w:t>2</w:t>
          </w:r>
        </w:fldSimple>
      </w:p>
    </w:sdtContent>
  </w:sdt>
  <w:p w:rsidR="00E13FB9" w:rsidRDefault="00E13F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116" w:rsidRDefault="00C14116" w:rsidP="00A60CEE">
      <w:pPr>
        <w:spacing w:after="0" w:line="240" w:lineRule="auto"/>
      </w:pPr>
      <w:r>
        <w:separator/>
      </w:r>
    </w:p>
  </w:footnote>
  <w:footnote w:type="continuationSeparator" w:id="1">
    <w:p w:rsidR="00C14116" w:rsidRDefault="00C14116" w:rsidP="00A60C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21C6A"/>
    <w:multiLevelType w:val="multilevel"/>
    <w:tmpl w:val="44ACE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AE0151"/>
    <w:multiLevelType w:val="multilevel"/>
    <w:tmpl w:val="69BE3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D26B3"/>
    <w:multiLevelType w:val="multilevel"/>
    <w:tmpl w:val="A0E2A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202B10"/>
    <w:multiLevelType w:val="multilevel"/>
    <w:tmpl w:val="6B7C1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467E86"/>
    <w:multiLevelType w:val="multilevel"/>
    <w:tmpl w:val="38DE28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4634A"/>
    <w:multiLevelType w:val="multilevel"/>
    <w:tmpl w:val="AA749F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0918CB"/>
    <w:multiLevelType w:val="multilevel"/>
    <w:tmpl w:val="D1EA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6"/>
    <w:lvlOverride w:ilvl="0">
      <w:startOverride w:val="1"/>
    </w:lvlOverride>
  </w:num>
  <w:num w:numId="4">
    <w:abstractNumId w:val="6"/>
    <w:lvlOverride w:ilvl="0">
      <w:startOverride w:val="2"/>
    </w:lvlOverride>
  </w:num>
  <w:num w:numId="5">
    <w:abstractNumId w:val="6"/>
    <w:lvlOverride w:ilvl="0">
      <w:startOverride w:val="3"/>
    </w:lvlOverride>
  </w:num>
  <w:num w:numId="6">
    <w:abstractNumId w:val="6"/>
    <w:lvlOverride w:ilvl="0">
      <w:startOverride w:val="4"/>
    </w:lvlOverride>
  </w:num>
  <w:num w:numId="7">
    <w:abstractNumId w:val="6"/>
    <w:lvlOverride w:ilvl="0">
      <w:startOverride w:val="5"/>
    </w:lvlOverride>
  </w:num>
  <w:num w:numId="8">
    <w:abstractNumId w:val="6"/>
    <w:lvlOverride w:ilvl="0">
      <w:startOverride w:val="6"/>
    </w:lvlOverride>
  </w:num>
  <w:num w:numId="9">
    <w:abstractNumId w:val="4"/>
  </w:num>
  <w:num w:numId="10">
    <w:abstractNumId w:val="2"/>
  </w:num>
  <w:num w:numId="11">
    <w:abstractNumId w:val="3"/>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60CEE"/>
    <w:rsid w:val="00074052"/>
    <w:rsid w:val="000F5824"/>
    <w:rsid w:val="002B63B9"/>
    <w:rsid w:val="002C28BF"/>
    <w:rsid w:val="003765AF"/>
    <w:rsid w:val="003B280C"/>
    <w:rsid w:val="00445CA7"/>
    <w:rsid w:val="004A0A35"/>
    <w:rsid w:val="00521547"/>
    <w:rsid w:val="005B48C7"/>
    <w:rsid w:val="005B5571"/>
    <w:rsid w:val="00791460"/>
    <w:rsid w:val="007C1E34"/>
    <w:rsid w:val="00A4782E"/>
    <w:rsid w:val="00A60CEE"/>
    <w:rsid w:val="00A70A8E"/>
    <w:rsid w:val="00C14116"/>
    <w:rsid w:val="00CD661E"/>
    <w:rsid w:val="00DD242D"/>
    <w:rsid w:val="00DF6AEA"/>
    <w:rsid w:val="00E13FB9"/>
    <w:rsid w:val="00FE174D"/>
  </w:rsids>
  <m:mathPr>
    <m:mathFont m:val="Cambria Math"/>
    <m:brkBin m:val="before"/>
    <m:brkBinSub m:val="--"/>
    <m:smallFrac m:val="off"/>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8BF"/>
  </w:style>
  <w:style w:type="paragraph" w:styleId="Heading1">
    <w:name w:val="heading 1"/>
    <w:basedOn w:val="Normal"/>
    <w:link w:val="Heading1Char"/>
    <w:uiPriority w:val="9"/>
    <w:qFormat/>
    <w:rsid w:val="00A60CEE"/>
    <w:pPr>
      <w:spacing w:before="100" w:beforeAutospacing="1" w:after="100" w:afterAutospacing="1" w:line="240" w:lineRule="auto"/>
      <w:outlineLvl w:val="0"/>
    </w:pPr>
    <w:rPr>
      <w:rFonts w:ascii="Arial" w:eastAsia="Times New Roman" w:hAnsi="Arial" w:cs="Arial"/>
      <w:b/>
      <w:bCs/>
      <w:color w:val="003399"/>
      <w:kern w:val="36"/>
      <w:sz w:val="26"/>
      <w:szCs w:val="26"/>
    </w:rPr>
  </w:style>
  <w:style w:type="paragraph" w:styleId="Heading2">
    <w:name w:val="heading 2"/>
    <w:basedOn w:val="Normal"/>
    <w:next w:val="Normal"/>
    <w:link w:val="Heading2Char"/>
    <w:uiPriority w:val="9"/>
    <w:unhideWhenUsed/>
    <w:qFormat/>
    <w:rsid w:val="00A60C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60CE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60CEE"/>
    <w:pPr>
      <w:spacing w:before="100" w:beforeAutospacing="1" w:after="100" w:afterAutospacing="1" w:line="240" w:lineRule="auto"/>
      <w:outlineLvl w:val="3"/>
    </w:pPr>
    <w:rPr>
      <w:rFonts w:ascii="Arial" w:eastAsia="Times New Roman" w:hAnsi="Arial" w:cs="Arial"/>
      <w:b/>
      <w:bCs/>
      <w:color w:val="003399"/>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CEE"/>
    <w:rPr>
      <w:rFonts w:ascii="Arial" w:eastAsia="Times New Roman" w:hAnsi="Arial" w:cs="Arial"/>
      <w:b/>
      <w:bCs/>
      <w:color w:val="003399"/>
      <w:kern w:val="36"/>
      <w:sz w:val="26"/>
      <w:szCs w:val="26"/>
    </w:rPr>
  </w:style>
  <w:style w:type="character" w:customStyle="1" w:styleId="Heading2Char">
    <w:name w:val="Heading 2 Char"/>
    <w:basedOn w:val="DefaultParagraphFont"/>
    <w:link w:val="Heading2"/>
    <w:uiPriority w:val="9"/>
    <w:rsid w:val="00A60C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60CE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60CEE"/>
    <w:rPr>
      <w:rFonts w:ascii="Arial" w:eastAsia="Times New Roman" w:hAnsi="Arial" w:cs="Arial"/>
      <w:b/>
      <w:bCs/>
      <w:color w:val="003399"/>
      <w:sz w:val="18"/>
      <w:szCs w:val="18"/>
    </w:rPr>
  </w:style>
  <w:style w:type="paragraph" w:customStyle="1" w:styleId="Caption1">
    <w:name w:val="Caption1"/>
    <w:basedOn w:val="Normal"/>
    <w:rsid w:val="00A60CEE"/>
    <w:pPr>
      <w:spacing w:before="100" w:beforeAutospacing="1" w:after="100" w:afterAutospacing="1" w:line="195" w:lineRule="atLeast"/>
    </w:pPr>
    <w:rPr>
      <w:rFonts w:ascii="Times New Roman" w:eastAsia="Times New Roman" w:hAnsi="Times New Roman" w:cs="Times New Roman"/>
      <w:color w:val="000000"/>
      <w:sz w:val="15"/>
      <w:szCs w:val="15"/>
    </w:rPr>
  </w:style>
  <w:style w:type="paragraph" w:styleId="BalloonText">
    <w:name w:val="Balloon Text"/>
    <w:basedOn w:val="Normal"/>
    <w:link w:val="BalloonTextChar"/>
    <w:uiPriority w:val="99"/>
    <w:semiHidden/>
    <w:unhideWhenUsed/>
    <w:rsid w:val="00A60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CEE"/>
    <w:rPr>
      <w:rFonts w:ascii="Tahoma" w:hAnsi="Tahoma" w:cs="Tahoma"/>
      <w:sz w:val="16"/>
      <w:szCs w:val="16"/>
    </w:rPr>
  </w:style>
  <w:style w:type="character" w:styleId="Hyperlink">
    <w:name w:val="Hyperlink"/>
    <w:basedOn w:val="DefaultParagraphFont"/>
    <w:uiPriority w:val="99"/>
    <w:semiHidden/>
    <w:unhideWhenUsed/>
    <w:rsid w:val="00A60CEE"/>
    <w:rPr>
      <w:color w:val="0000FF"/>
      <w:u w:val="single"/>
    </w:rPr>
  </w:style>
  <w:style w:type="paragraph" w:styleId="NormalWeb">
    <w:name w:val="Normal (Web)"/>
    <w:basedOn w:val="Normal"/>
    <w:uiPriority w:val="99"/>
    <w:unhideWhenUsed/>
    <w:rsid w:val="00A60C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A60CEE"/>
  </w:style>
  <w:style w:type="character" w:customStyle="1" w:styleId="tocnumber2">
    <w:name w:val="tocnumber2"/>
    <w:basedOn w:val="DefaultParagraphFont"/>
    <w:rsid w:val="00A60CEE"/>
  </w:style>
  <w:style w:type="character" w:customStyle="1" w:styleId="toctext">
    <w:name w:val="toctext"/>
    <w:basedOn w:val="DefaultParagraphFont"/>
    <w:rsid w:val="00A60CEE"/>
  </w:style>
  <w:style w:type="character" w:customStyle="1" w:styleId="editsection">
    <w:name w:val="editsection"/>
    <w:basedOn w:val="DefaultParagraphFont"/>
    <w:rsid w:val="00A60CEE"/>
  </w:style>
  <w:style w:type="character" w:customStyle="1" w:styleId="mw-headline">
    <w:name w:val="mw-headline"/>
    <w:basedOn w:val="DefaultParagraphFont"/>
    <w:rsid w:val="00A60CEE"/>
  </w:style>
  <w:style w:type="character" w:customStyle="1" w:styleId="boilerplate">
    <w:name w:val="boilerplate"/>
    <w:basedOn w:val="DefaultParagraphFont"/>
    <w:rsid w:val="00A60CEE"/>
  </w:style>
  <w:style w:type="paragraph" w:customStyle="1" w:styleId="contentboxopenaccesstitle">
    <w:name w:val="content_box_openaccess_title"/>
    <w:basedOn w:val="Normal"/>
    <w:rsid w:val="00A60CEE"/>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earch-terms">
    <w:name w:val="search-terms"/>
    <w:basedOn w:val="Normal"/>
    <w:rsid w:val="00A60C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ion-name">
    <w:name w:val="collection-name"/>
    <w:basedOn w:val="Normal"/>
    <w:rsid w:val="00A60C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terms1">
    <w:name w:val="search-terms1"/>
    <w:basedOn w:val="Normal"/>
    <w:rsid w:val="00A60CE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lection-name1">
    <w:name w:val="collection-name1"/>
    <w:basedOn w:val="Normal"/>
    <w:rsid w:val="00A60CEE"/>
    <w:pPr>
      <w:spacing w:before="100" w:beforeAutospacing="1" w:after="100" w:afterAutospacing="1" w:line="240" w:lineRule="auto"/>
    </w:pPr>
    <w:rPr>
      <w:rFonts w:ascii="Times New Roman" w:eastAsia="Times New Roman" w:hAnsi="Times New Roman" w:cs="Times New Roman"/>
      <w:i/>
      <w:iCs/>
      <w:sz w:val="24"/>
      <w:szCs w:val="24"/>
    </w:rPr>
  </w:style>
  <w:style w:type="character" w:styleId="Strong">
    <w:name w:val="Strong"/>
    <w:basedOn w:val="DefaultParagraphFont"/>
    <w:uiPriority w:val="22"/>
    <w:qFormat/>
    <w:rsid w:val="00A60CEE"/>
    <w:rPr>
      <w:b/>
      <w:bCs/>
    </w:rPr>
  </w:style>
  <w:style w:type="character" w:styleId="Emphasis">
    <w:name w:val="Emphasis"/>
    <w:basedOn w:val="DefaultParagraphFont"/>
    <w:uiPriority w:val="20"/>
    <w:qFormat/>
    <w:rsid w:val="00A60CEE"/>
    <w:rPr>
      <w:i/>
      <w:iCs/>
    </w:rPr>
  </w:style>
  <w:style w:type="paragraph" w:styleId="Header">
    <w:name w:val="header"/>
    <w:basedOn w:val="Normal"/>
    <w:link w:val="HeaderChar"/>
    <w:uiPriority w:val="99"/>
    <w:semiHidden/>
    <w:unhideWhenUsed/>
    <w:rsid w:val="00A60C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0CEE"/>
  </w:style>
  <w:style w:type="paragraph" w:styleId="Footer">
    <w:name w:val="footer"/>
    <w:basedOn w:val="Normal"/>
    <w:link w:val="FooterChar"/>
    <w:uiPriority w:val="99"/>
    <w:unhideWhenUsed/>
    <w:rsid w:val="00A60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CEE"/>
  </w:style>
  <w:style w:type="paragraph" w:customStyle="1" w:styleId="listleader">
    <w:name w:val="listleader"/>
    <w:basedOn w:val="Normal"/>
    <w:rsid w:val="00A4782E"/>
    <w:pPr>
      <w:spacing w:before="100" w:beforeAutospacing="1" w:after="0" w:line="240" w:lineRule="auto"/>
    </w:pPr>
    <w:rPr>
      <w:rFonts w:ascii="Times New Roman" w:eastAsia="Times New Roman" w:hAnsi="Times New Roman" w:cs="Times New Roman"/>
      <w:sz w:val="20"/>
      <w:szCs w:val="20"/>
    </w:rPr>
  </w:style>
  <w:style w:type="paragraph" w:customStyle="1" w:styleId="leadimgtoptxt">
    <w:name w:val="leadimg_toptxt"/>
    <w:basedOn w:val="Normal"/>
    <w:rsid w:val="00A4782E"/>
    <w:pPr>
      <w:spacing w:before="30" w:after="60" w:line="240" w:lineRule="auto"/>
      <w:jc w:val="center"/>
    </w:pPr>
    <w:rPr>
      <w:rFonts w:ascii="Times New Roman" w:eastAsia="Times New Roman" w:hAnsi="Times New Roman" w:cs="Times New Roman"/>
      <w:color w:val="003366"/>
      <w:sz w:val="17"/>
      <w:szCs w:val="17"/>
    </w:rPr>
  </w:style>
</w:styles>
</file>

<file path=word/webSettings.xml><?xml version="1.0" encoding="utf-8"?>
<w:webSettings xmlns:r="http://schemas.openxmlformats.org/officeDocument/2006/relationships" xmlns:w="http://schemas.openxmlformats.org/wordprocessingml/2006/main">
  <w:divs>
    <w:div w:id="81417430">
      <w:bodyDiv w:val="1"/>
      <w:marLeft w:val="0"/>
      <w:marRight w:val="0"/>
      <w:marTop w:val="0"/>
      <w:marBottom w:val="0"/>
      <w:divBdr>
        <w:top w:val="none" w:sz="0" w:space="0" w:color="auto"/>
        <w:left w:val="none" w:sz="0" w:space="0" w:color="auto"/>
        <w:bottom w:val="none" w:sz="0" w:space="0" w:color="auto"/>
        <w:right w:val="none" w:sz="0" w:space="0" w:color="auto"/>
      </w:divBdr>
    </w:div>
    <w:div w:id="262492919">
      <w:bodyDiv w:val="1"/>
      <w:marLeft w:val="0"/>
      <w:marRight w:val="0"/>
      <w:marTop w:val="0"/>
      <w:marBottom w:val="0"/>
      <w:divBdr>
        <w:top w:val="none" w:sz="0" w:space="0" w:color="auto"/>
        <w:left w:val="none" w:sz="0" w:space="0" w:color="auto"/>
        <w:bottom w:val="none" w:sz="0" w:space="0" w:color="auto"/>
        <w:right w:val="none" w:sz="0" w:space="0" w:color="auto"/>
      </w:divBdr>
    </w:div>
    <w:div w:id="384449089">
      <w:bodyDiv w:val="1"/>
      <w:marLeft w:val="0"/>
      <w:marRight w:val="0"/>
      <w:marTop w:val="0"/>
      <w:marBottom w:val="0"/>
      <w:divBdr>
        <w:top w:val="none" w:sz="0" w:space="0" w:color="auto"/>
        <w:left w:val="none" w:sz="0" w:space="0" w:color="auto"/>
        <w:bottom w:val="none" w:sz="0" w:space="0" w:color="auto"/>
        <w:right w:val="none" w:sz="0" w:space="0" w:color="auto"/>
      </w:divBdr>
      <w:divsChild>
        <w:div w:id="1431656902">
          <w:marLeft w:val="0"/>
          <w:marRight w:val="0"/>
          <w:marTop w:val="0"/>
          <w:marBottom w:val="0"/>
          <w:divBdr>
            <w:top w:val="none" w:sz="0" w:space="0" w:color="auto"/>
            <w:left w:val="none" w:sz="0" w:space="0" w:color="auto"/>
            <w:bottom w:val="none" w:sz="0" w:space="0" w:color="auto"/>
            <w:right w:val="none" w:sz="0" w:space="0" w:color="auto"/>
          </w:divBdr>
          <w:divsChild>
            <w:div w:id="1084230629">
              <w:marLeft w:val="2475"/>
              <w:marRight w:val="0"/>
              <w:marTop w:val="0"/>
              <w:marBottom w:val="0"/>
              <w:divBdr>
                <w:top w:val="none" w:sz="0" w:space="0" w:color="auto"/>
                <w:left w:val="none" w:sz="0" w:space="0" w:color="auto"/>
                <w:bottom w:val="none" w:sz="0" w:space="0" w:color="auto"/>
                <w:right w:val="none" w:sz="0" w:space="0" w:color="auto"/>
              </w:divBdr>
              <w:divsChild>
                <w:div w:id="996810761">
                  <w:marLeft w:val="0"/>
                  <w:marRight w:val="0"/>
                  <w:marTop w:val="0"/>
                  <w:marBottom w:val="0"/>
                  <w:divBdr>
                    <w:top w:val="none" w:sz="0" w:space="0" w:color="auto"/>
                    <w:left w:val="none" w:sz="0" w:space="0" w:color="auto"/>
                    <w:bottom w:val="single" w:sz="6" w:space="4" w:color="999999"/>
                    <w:right w:val="none" w:sz="0" w:space="0" w:color="auto"/>
                  </w:divBdr>
                </w:div>
                <w:div w:id="20701833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43186194">
      <w:bodyDiv w:val="1"/>
      <w:marLeft w:val="0"/>
      <w:marRight w:val="0"/>
      <w:marTop w:val="0"/>
      <w:marBottom w:val="0"/>
      <w:divBdr>
        <w:top w:val="none" w:sz="0" w:space="0" w:color="auto"/>
        <w:left w:val="none" w:sz="0" w:space="0" w:color="auto"/>
        <w:bottom w:val="none" w:sz="0" w:space="0" w:color="auto"/>
        <w:right w:val="none" w:sz="0" w:space="0" w:color="auto"/>
      </w:divBdr>
      <w:divsChild>
        <w:div w:id="1583104095">
          <w:marLeft w:val="0"/>
          <w:marRight w:val="0"/>
          <w:marTop w:val="0"/>
          <w:marBottom w:val="0"/>
          <w:divBdr>
            <w:top w:val="none" w:sz="0" w:space="0" w:color="auto"/>
            <w:left w:val="none" w:sz="0" w:space="0" w:color="auto"/>
            <w:bottom w:val="none" w:sz="0" w:space="0" w:color="auto"/>
            <w:right w:val="none" w:sz="0" w:space="0" w:color="auto"/>
          </w:divBdr>
          <w:divsChild>
            <w:div w:id="326061177">
              <w:marLeft w:val="0"/>
              <w:marRight w:val="0"/>
              <w:marTop w:val="0"/>
              <w:marBottom w:val="0"/>
              <w:divBdr>
                <w:top w:val="none" w:sz="0" w:space="0" w:color="auto"/>
                <w:left w:val="none" w:sz="0" w:space="0" w:color="auto"/>
                <w:bottom w:val="none" w:sz="0" w:space="0" w:color="auto"/>
                <w:right w:val="none" w:sz="0" w:space="0" w:color="auto"/>
              </w:divBdr>
              <w:divsChild>
                <w:div w:id="1112555154">
                  <w:marLeft w:val="0"/>
                  <w:marRight w:val="0"/>
                  <w:marTop w:val="0"/>
                  <w:marBottom w:val="0"/>
                  <w:divBdr>
                    <w:top w:val="none" w:sz="0" w:space="0" w:color="auto"/>
                    <w:left w:val="none" w:sz="0" w:space="0" w:color="auto"/>
                    <w:bottom w:val="none" w:sz="0" w:space="0" w:color="auto"/>
                    <w:right w:val="none" w:sz="0" w:space="0" w:color="auto"/>
                  </w:divBdr>
                  <w:divsChild>
                    <w:div w:id="912812590">
                      <w:marLeft w:val="0"/>
                      <w:marRight w:val="0"/>
                      <w:marTop w:val="0"/>
                      <w:marBottom w:val="0"/>
                      <w:divBdr>
                        <w:top w:val="none" w:sz="0" w:space="0" w:color="auto"/>
                        <w:left w:val="none" w:sz="0" w:space="0" w:color="auto"/>
                        <w:bottom w:val="none" w:sz="0" w:space="0" w:color="auto"/>
                        <w:right w:val="none" w:sz="0" w:space="0" w:color="auto"/>
                      </w:divBdr>
                    </w:div>
                    <w:div w:id="562566619">
                      <w:marLeft w:val="0"/>
                      <w:marRight w:val="0"/>
                      <w:marTop w:val="0"/>
                      <w:marBottom w:val="0"/>
                      <w:divBdr>
                        <w:top w:val="none" w:sz="0" w:space="0" w:color="auto"/>
                        <w:left w:val="none" w:sz="0" w:space="0" w:color="auto"/>
                        <w:bottom w:val="none" w:sz="0" w:space="0" w:color="auto"/>
                        <w:right w:val="none" w:sz="0" w:space="0" w:color="auto"/>
                      </w:divBdr>
                    </w:div>
                    <w:div w:id="2903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461559">
      <w:bodyDiv w:val="1"/>
      <w:marLeft w:val="0"/>
      <w:marRight w:val="0"/>
      <w:marTop w:val="0"/>
      <w:marBottom w:val="0"/>
      <w:divBdr>
        <w:top w:val="none" w:sz="0" w:space="0" w:color="auto"/>
        <w:left w:val="none" w:sz="0" w:space="0" w:color="auto"/>
        <w:bottom w:val="none" w:sz="0" w:space="0" w:color="auto"/>
        <w:right w:val="none" w:sz="0" w:space="0" w:color="auto"/>
      </w:divBdr>
      <w:divsChild>
        <w:div w:id="1802454136">
          <w:marLeft w:val="300"/>
          <w:marRight w:val="450"/>
          <w:marTop w:val="150"/>
          <w:marBottom w:val="300"/>
          <w:divBdr>
            <w:top w:val="none" w:sz="0" w:space="0" w:color="auto"/>
            <w:left w:val="none" w:sz="0" w:space="0" w:color="auto"/>
            <w:bottom w:val="none" w:sz="0" w:space="0" w:color="auto"/>
            <w:right w:val="none" w:sz="0" w:space="0" w:color="auto"/>
          </w:divBdr>
          <w:divsChild>
            <w:div w:id="1582175938">
              <w:marLeft w:val="0"/>
              <w:marRight w:val="0"/>
              <w:marTop w:val="0"/>
              <w:marBottom w:val="0"/>
              <w:divBdr>
                <w:top w:val="none" w:sz="0" w:space="0" w:color="auto"/>
                <w:left w:val="none" w:sz="0" w:space="0" w:color="auto"/>
                <w:bottom w:val="none" w:sz="0" w:space="0" w:color="auto"/>
                <w:right w:val="none" w:sz="0" w:space="0" w:color="auto"/>
              </w:divBdr>
            </w:div>
            <w:div w:id="35442824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37202673">
      <w:bodyDiv w:val="1"/>
      <w:marLeft w:val="0"/>
      <w:marRight w:val="0"/>
      <w:marTop w:val="0"/>
      <w:marBottom w:val="0"/>
      <w:divBdr>
        <w:top w:val="none" w:sz="0" w:space="0" w:color="auto"/>
        <w:left w:val="none" w:sz="0" w:space="0" w:color="auto"/>
        <w:bottom w:val="none" w:sz="0" w:space="0" w:color="auto"/>
        <w:right w:val="none" w:sz="0" w:space="0" w:color="auto"/>
      </w:divBdr>
      <w:divsChild>
        <w:div w:id="612401093">
          <w:marLeft w:val="0"/>
          <w:marRight w:val="0"/>
          <w:marTop w:val="0"/>
          <w:marBottom w:val="0"/>
          <w:divBdr>
            <w:top w:val="none" w:sz="0" w:space="0" w:color="auto"/>
            <w:left w:val="none" w:sz="0" w:space="0" w:color="auto"/>
            <w:bottom w:val="none" w:sz="0" w:space="0" w:color="auto"/>
            <w:right w:val="none" w:sz="0" w:space="0" w:color="auto"/>
          </w:divBdr>
        </w:div>
        <w:div w:id="1179155068">
          <w:marLeft w:val="0"/>
          <w:marRight w:val="0"/>
          <w:marTop w:val="525"/>
          <w:marBottom w:val="0"/>
          <w:divBdr>
            <w:top w:val="none" w:sz="0" w:space="0" w:color="auto"/>
            <w:left w:val="none" w:sz="0" w:space="0" w:color="auto"/>
            <w:bottom w:val="none" w:sz="0" w:space="0" w:color="auto"/>
            <w:right w:val="none" w:sz="0" w:space="0" w:color="auto"/>
          </w:divBdr>
        </w:div>
        <w:div w:id="1346135675">
          <w:marLeft w:val="0"/>
          <w:marRight w:val="0"/>
          <w:marTop w:val="525"/>
          <w:marBottom w:val="0"/>
          <w:divBdr>
            <w:top w:val="none" w:sz="0" w:space="0" w:color="auto"/>
            <w:left w:val="none" w:sz="0" w:space="0" w:color="auto"/>
            <w:bottom w:val="none" w:sz="0" w:space="0" w:color="auto"/>
            <w:right w:val="none" w:sz="0" w:space="0" w:color="auto"/>
          </w:divBdr>
        </w:div>
        <w:div w:id="806245540">
          <w:marLeft w:val="0"/>
          <w:marRight w:val="0"/>
          <w:marTop w:val="525"/>
          <w:marBottom w:val="0"/>
          <w:divBdr>
            <w:top w:val="none" w:sz="0" w:space="0" w:color="auto"/>
            <w:left w:val="none" w:sz="0" w:space="0" w:color="auto"/>
            <w:bottom w:val="none" w:sz="0" w:space="0" w:color="auto"/>
            <w:right w:val="none" w:sz="0" w:space="0" w:color="auto"/>
          </w:divBdr>
        </w:div>
        <w:div w:id="1176772618">
          <w:marLeft w:val="0"/>
          <w:marRight w:val="0"/>
          <w:marTop w:val="525"/>
          <w:marBottom w:val="0"/>
          <w:divBdr>
            <w:top w:val="none" w:sz="0" w:space="0" w:color="auto"/>
            <w:left w:val="none" w:sz="0" w:space="0" w:color="auto"/>
            <w:bottom w:val="none" w:sz="0" w:space="0" w:color="auto"/>
            <w:right w:val="none" w:sz="0" w:space="0" w:color="auto"/>
          </w:divBdr>
        </w:div>
        <w:div w:id="917442412">
          <w:marLeft w:val="0"/>
          <w:marRight w:val="0"/>
          <w:marTop w:val="525"/>
          <w:marBottom w:val="0"/>
          <w:divBdr>
            <w:top w:val="none" w:sz="0" w:space="0" w:color="auto"/>
            <w:left w:val="none" w:sz="0" w:space="0" w:color="auto"/>
            <w:bottom w:val="none" w:sz="0" w:space="0" w:color="auto"/>
            <w:right w:val="none" w:sz="0" w:space="0" w:color="auto"/>
          </w:divBdr>
        </w:div>
        <w:div w:id="617294640">
          <w:marLeft w:val="0"/>
          <w:marRight w:val="0"/>
          <w:marTop w:val="525"/>
          <w:marBottom w:val="0"/>
          <w:divBdr>
            <w:top w:val="none" w:sz="0" w:space="0" w:color="auto"/>
            <w:left w:val="none" w:sz="0" w:space="0" w:color="auto"/>
            <w:bottom w:val="none" w:sz="0" w:space="0" w:color="auto"/>
            <w:right w:val="none" w:sz="0" w:space="0" w:color="auto"/>
          </w:divBdr>
        </w:div>
        <w:div w:id="1958443898">
          <w:marLeft w:val="0"/>
          <w:marRight w:val="0"/>
          <w:marTop w:val="525"/>
          <w:marBottom w:val="0"/>
          <w:divBdr>
            <w:top w:val="none" w:sz="0" w:space="0" w:color="auto"/>
            <w:left w:val="none" w:sz="0" w:space="0" w:color="auto"/>
            <w:bottom w:val="none" w:sz="0" w:space="0" w:color="auto"/>
            <w:right w:val="none" w:sz="0" w:space="0" w:color="auto"/>
          </w:divBdr>
        </w:div>
        <w:div w:id="682249169">
          <w:marLeft w:val="0"/>
          <w:marRight w:val="0"/>
          <w:marTop w:val="525"/>
          <w:marBottom w:val="0"/>
          <w:divBdr>
            <w:top w:val="none" w:sz="0" w:space="0" w:color="auto"/>
            <w:left w:val="none" w:sz="0" w:space="0" w:color="auto"/>
            <w:bottom w:val="none" w:sz="0" w:space="0" w:color="auto"/>
            <w:right w:val="none" w:sz="0" w:space="0" w:color="auto"/>
          </w:divBdr>
        </w:div>
        <w:div w:id="1117019183">
          <w:marLeft w:val="0"/>
          <w:marRight w:val="0"/>
          <w:marTop w:val="525"/>
          <w:marBottom w:val="0"/>
          <w:divBdr>
            <w:top w:val="none" w:sz="0" w:space="0" w:color="auto"/>
            <w:left w:val="none" w:sz="0" w:space="0" w:color="auto"/>
            <w:bottom w:val="none" w:sz="0" w:space="0" w:color="auto"/>
            <w:right w:val="none" w:sz="0" w:space="0" w:color="auto"/>
          </w:divBdr>
        </w:div>
        <w:div w:id="291139280">
          <w:marLeft w:val="0"/>
          <w:marRight w:val="0"/>
          <w:marTop w:val="525"/>
          <w:marBottom w:val="0"/>
          <w:divBdr>
            <w:top w:val="none" w:sz="0" w:space="0" w:color="auto"/>
            <w:left w:val="none" w:sz="0" w:space="0" w:color="auto"/>
            <w:bottom w:val="none" w:sz="0" w:space="0" w:color="auto"/>
            <w:right w:val="none" w:sz="0" w:space="0" w:color="auto"/>
          </w:divBdr>
        </w:div>
      </w:divsChild>
    </w:div>
    <w:div w:id="1779832597">
      <w:bodyDiv w:val="1"/>
      <w:marLeft w:val="0"/>
      <w:marRight w:val="0"/>
      <w:marTop w:val="0"/>
      <w:marBottom w:val="0"/>
      <w:divBdr>
        <w:top w:val="none" w:sz="0" w:space="0" w:color="auto"/>
        <w:left w:val="none" w:sz="0" w:space="0" w:color="auto"/>
        <w:bottom w:val="none" w:sz="0" w:space="0" w:color="auto"/>
        <w:right w:val="none" w:sz="0" w:space="0" w:color="auto"/>
      </w:divBdr>
      <w:divsChild>
        <w:div w:id="360672903">
          <w:marLeft w:val="0"/>
          <w:marRight w:val="0"/>
          <w:marTop w:val="0"/>
          <w:marBottom w:val="0"/>
          <w:divBdr>
            <w:top w:val="none" w:sz="0" w:space="0" w:color="auto"/>
            <w:left w:val="none" w:sz="0" w:space="0" w:color="auto"/>
            <w:bottom w:val="none" w:sz="0" w:space="0" w:color="auto"/>
            <w:right w:val="none" w:sz="0" w:space="0" w:color="auto"/>
          </w:divBdr>
          <w:divsChild>
            <w:div w:id="2128309770">
              <w:marLeft w:val="0"/>
              <w:marRight w:val="0"/>
              <w:marTop w:val="0"/>
              <w:marBottom w:val="0"/>
              <w:divBdr>
                <w:top w:val="none" w:sz="0" w:space="0" w:color="auto"/>
                <w:left w:val="none" w:sz="0" w:space="0" w:color="auto"/>
                <w:bottom w:val="none" w:sz="0" w:space="0" w:color="auto"/>
                <w:right w:val="none" w:sz="0" w:space="0" w:color="auto"/>
              </w:divBdr>
              <w:divsChild>
                <w:div w:id="1732650860">
                  <w:marLeft w:val="0"/>
                  <w:marRight w:val="0"/>
                  <w:marTop w:val="0"/>
                  <w:marBottom w:val="0"/>
                  <w:divBdr>
                    <w:top w:val="none" w:sz="0" w:space="0" w:color="auto"/>
                    <w:left w:val="none" w:sz="0" w:space="0" w:color="auto"/>
                    <w:bottom w:val="none" w:sz="0" w:space="0" w:color="auto"/>
                    <w:right w:val="none" w:sz="0" w:space="0" w:color="auto"/>
                  </w:divBdr>
                  <w:divsChild>
                    <w:div w:id="750856277">
                      <w:marLeft w:val="0"/>
                      <w:marRight w:val="0"/>
                      <w:marTop w:val="0"/>
                      <w:marBottom w:val="0"/>
                      <w:divBdr>
                        <w:top w:val="none" w:sz="0" w:space="0" w:color="auto"/>
                        <w:left w:val="none" w:sz="0" w:space="0" w:color="auto"/>
                        <w:bottom w:val="none" w:sz="0" w:space="0" w:color="auto"/>
                        <w:right w:val="none" w:sz="0" w:space="0" w:color="auto"/>
                      </w:divBdr>
                      <w:divsChild>
                        <w:div w:id="1816802120">
                          <w:marLeft w:val="0"/>
                          <w:marRight w:val="0"/>
                          <w:marTop w:val="0"/>
                          <w:marBottom w:val="0"/>
                          <w:divBdr>
                            <w:top w:val="none" w:sz="0" w:space="0" w:color="auto"/>
                            <w:left w:val="none" w:sz="0" w:space="0" w:color="auto"/>
                            <w:bottom w:val="none" w:sz="0" w:space="0" w:color="auto"/>
                            <w:right w:val="none" w:sz="0" w:space="0" w:color="auto"/>
                          </w:divBdr>
                        </w:div>
                        <w:div w:id="1722243983">
                          <w:marLeft w:val="0"/>
                          <w:marRight w:val="0"/>
                          <w:marTop w:val="0"/>
                          <w:marBottom w:val="0"/>
                          <w:divBdr>
                            <w:top w:val="none" w:sz="0" w:space="0" w:color="auto"/>
                            <w:left w:val="none" w:sz="0" w:space="0" w:color="auto"/>
                            <w:bottom w:val="none" w:sz="0" w:space="0" w:color="auto"/>
                            <w:right w:val="none" w:sz="0" w:space="0" w:color="auto"/>
                          </w:divBdr>
                        </w:div>
                        <w:div w:id="406416493">
                          <w:marLeft w:val="0"/>
                          <w:marRight w:val="0"/>
                          <w:marTop w:val="0"/>
                          <w:marBottom w:val="0"/>
                          <w:divBdr>
                            <w:top w:val="none" w:sz="0" w:space="0" w:color="auto"/>
                            <w:left w:val="none" w:sz="0" w:space="0" w:color="auto"/>
                            <w:bottom w:val="none" w:sz="0" w:space="0" w:color="auto"/>
                            <w:right w:val="none" w:sz="0" w:space="0" w:color="auto"/>
                          </w:divBdr>
                        </w:div>
                        <w:div w:id="1134058211">
                          <w:marLeft w:val="0"/>
                          <w:marRight w:val="0"/>
                          <w:marTop w:val="0"/>
                          <w:marBottom w:val="0"/>
                          <w:divBdr>
                            <w:top w:val="none" w:sz="0" w:space="0" w:color="auto"/>
                            <w:left w:val="none" w:sz="0" w:space="0" w:color="auto"/>
                            <w:bottom w:val="none" w:sz="0" w:space="0" w:color="auto"/>
                            <w:right w:val="none" w:sz="0" w:space="0" w:color="auto"/>
                          </w:divBdr>
                          <w:divsChild>
                            <w:div w:id="193540411">
                              <w:marLeft w:val="0"/>
                              <w:marRight w:val="0"/>
                              <w:marTop w:val="0"/>
                              <w:marBottom w:val="0"/>
                              <w:divBdr>
                                <w:top w:val="none" w:sz="0" w:space="0" w:color="auto"/>
                                <w:left w:val="none" w:sz="0" w:space="0" w:color="auto"/>
                                <w:bottom w:val="none" w:sz="0" w:space="0" w:color="auto"/>
                                <w:right w:val="none" w:sz="0" w:space="0" w:color="auto"/>
                              </w:divBdr>
                              <w:divsChild>
                                <w:div w:id="1282495731">
                                  <w:marLeft w:val="0"/>
                                  <w:marRight w:val="0"/>
                                  <w:marTop w:val="0"/>
                                  <w:marBottom w:val="0"/>
                                  <w:divBdr>
                                    <w:top w:val="none" w:sz="0" w:space="0" w:color="auto"/>
                                    <w:left w:val="none" w:sz="0" w:space="0" w:color="auto"/>
                                    <w:bottom w:val="none" w:sz="0" w:space="0" w:color="auto"/>
                                    <w:right w:val="none" w:sz="0" w:space="0" w:color="auto"/>
                                  </w:divBdr>
                                  <w:divsChild>
                                    <w:div w:id="95572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jcem.endojournals.org/cgi/content/full/92/2/583" TargetMode="External"/><Relationship Id="rId21" Type="http://schemas.openxmlformats.org/officeDocument/2006/relationships/hyperlink" Target="http://en.wikipedia.org/wiki/Health" TargetMode="External"/><Relationship Id="rId42" Type="http://schemas.openxmlformats.org/officeDocument/2006/relationships/hyperlink" Target="http://en.wikipedia.org/wiki/Behavioral_sciences" TargetMode="External"/><Relationship Id="rId63" Type="http://schemas.openxmlformats.org/officeDocument/2006/relationships/hyperlink" Target="http://en.wikipedia.org/wiki/Weight_loss" TargetMode="External"/><Relationship Id="rId84" Type="http://schemas.openxmlformats.org/officeDocument/2006/relationships/hyperlink" Target="http://en.wikipedia.org/wiki/Weight_loss" TargetMode="External"/><Relationship Id="rId138" Type="http://schemas.openxmlformats.org/officeDocument/2006/relationships/hyperlink" Target="http://jcem.endojournals.org/cgi/content/full/92/2/583#F4" TargetMode="External"/><Relationship Id="rId159" Type="http://schemas.openxmlformats.org/officeDocument/2006/relationships/hyperlink" Target="http://jcem.endojournals.org/cgi/content/full/92/2/583" TargetMode="External"/><Relationship Id="rId170" Type="http://schemas.openxmlformats.org/officeDocument/2006/relationships/hyperlink" Target="http://jcem.endojournals.org/cgi/content/full/92/2/583" TargetMode="External"/><Relationship Id="rId191" Type="http://schemas.openxmlformats.org/officeDocument/2006/relationships/image" Target="media/image20.gif"/><Relationship Id="rId205" Type="http://schemas.openxmlformats.org/officeDocument/2006/relationships/hyperlink" Target="http://www.radiologyinfo.org/en/glossary/glossary1.cfm?gid=597" TargetMode="External"/><Relationship Id="rId226" Type="http://schemas.openxmlformats.org/officeDocument/2006/relationships/hyperlink" Target="http://www.radiologyinfo.org/en/glossary/glossary1.cfm?gid=167" TargetMode="External"/><Relationship Id="rId247" Type="http://schemas.openxmlformats.org/officeDocument/2006/relationships/image" Target="media/image24.jpeg"/><Relationship Id="rId107" Type="http://schemas.openxmlformats.org/officeDocument/2006/relationships/hyperlink" Target="http://jcem.endojournals.org/cgi/content/full/92/2/583" TargetMode="External"/><Relationship Id="rId268" Type="http://schemas.openxmlformats.org/officeDocument/2006/relationships/hyperlink" Target="http://www.alasbimnjournal.cl/www2/alasbimn/CDA/sec_a/0,1205,SCID%253D528%2526ISID%253D14%2526PRT%253D519,00.html" TargetMode="External"/><Relationship Id="rId11" Type="http://schemas.openxmlformats.org/officeDocument/2006/relationships/image" Target="media/image2.png"/><Relationship Id="rId32" Type="http://schemas.openxmlformats.org/officeDocument/2006/relationships/hyperlink" Target="http://en.wikipedia.org/wiki/Weight_loss" TargetMode="External"/><Relationship Id="rId53" Type="http://schemas.openxmlformats.org/officeDocument/2006/relationships/hyperlink" Target="http://en.wikipedia.org/wiki/Fidgeting" TargetMode="External"/><Relationship Id="rId74" Type="http://schemas.openxmlformats.org/officeDocument/2006/relationships/hyperlink" Target="http://en.wikipedia.org/wiki/Bariatrics" TargetMode="External"/><Relationship Id="rId128" Type="http://schemas.openxmlformats.org/officeDocument/2006/relationships/hyperlink" Target="http://jcem.endojournals.org/cgi/content/full/92/2/583/F2" TargetMode="External"/><Relationship Id="rId149" Type="http://schemas.openxmlformats.org/officeDocument/2006/relationships/hyperlink" Target="http://jcem.endojournals.org/cgi/content/full/92/2/583" TargetMode="External"/><Relationship Id="rId5" Type="http://schemas.openxmlformats.org/officeDocument/2006/relationships/footnotes" Target="footnotes.xml"/><Relationship Id="rId95" Type="http://schemas.openxmlformats.org/officeDocument/2006/relationships/hyperlink" Target="http://jcem.endojournals.org/cgi/content/full/92/2/583" TargetMode="External"/><Relationship Id="rId160" Type="http://schemas.openxmlformats.org/officeDocument/2006/relationships/hyperlink" Target="http://jcem.endojournals.org/cgi/content/full/92/2/583" TargetMode="External"/><Relationship Id="rId181" Type="http://schemas.openxmlformats.org/officeDocument/2006/relationships/hyperlink" Target="http://jcem.endojournals.org/cgi/external_ref?access_num=3907276&amp;link_type=MED" TargetMode="External"/><Relationship Id="rId216" Type="http://schemas.openxmlformats.org/officeDocument/2006/relationships/hyperlink" Target="http://www.radiologyinfo.org/en/glossary/glossary1.cfm?gid=285" TargetMode="External"/><Relationship Id="rId237" Type="http://schemas.openxmlformats.org/officeDocument/2006/relationships/hyperlink" Target="http://www.alasbimnjournal.cl/www2/alasbimn/CDA/sec_a/0,1205,SCID%253D528%2526ISID%253D14%2526PRT%253D519,00.html" TargetMode="External"/><Relationship Id="rId258" Type="http://schemas.openxmlformats.org/officeDocument/2006/relationships/image" Target="media/image26.jpeg"/><Relationship Id="rId22" Type="http://schemas.openxmlformats.org/officeDocument/2006/relationships/hyperlink" Target="http://en.wikipedia.org/wiki/Physical_fitness" TargetMode="External"/><Relationship Id="rId43" Type="http://schemas.openxmlformats.org/officeDocument/2006/relationships/hyperlink" Target="http://en.wikipedia.org/wiki/Bioenergetics" TargetMode="External"/><Relationship Id="rId64" Type="http://schemas.openxmlformats.org/officeDocument/2006/relationships/hyperlink" Target="http://en.wikipedia.org/wiki/Cancer" TargetMode="External"/><Relationship Id="rId118" Type="http://schemas.openxmlformats.org/officeDocument/2006/relationships/image" Target="media/image6.gif"/><Relationship Id="rId139" Type="http://schemas.openxmlformats.org/officeDocument/2006/relationships/hyperlink" Target="http://jcem.endojournals.org/cgi/content/full/92/2/583/F4" TargetMode="External"/><Relationship Id="rId85" Type="http://schemas.openxmlformats.org/officeDocument/2006/relationships/hyperlink" Target="http://en.wikipedia.org/wiki/Surgery" TargetMode="External"/><Relationship Id="rId150" Type="http://schemas.openxmlformats.org/officeDocument/2006/relationships/hyperlink" Target="http://jcem.endojournals.org/cgi/content/full/92/2/583" TargetMode="External"/><Relationship Id="rId171" Type="http://schemas.openxmlformats.org/officeDocument/2006/relationships/hyperlink" Target="http://jcem.endojournals.org/cgi/content/full/92/2/583" TargetMode="External"/><Relationship Id="rId192" Type="http://schemas.openxmlformats.org/officeDocument/2006/relationships/image" Target="media/image21.emf"/><Relationship Id="rId206" Type="http://schemas.openxmlformats.org/officeDocument/2006/relationships/hyperlink" Target="http://www.radiologyinfo.org/en/glossary/glossary1.cfm?gid=606" TargetMode="External"/><Relationship Id="rId227" Type="http://schemas.openxmlformats.org/officeDocument/2006/relationships/hyperlink" Target="http://www.radiologyinfo.org/en/safety/index.cfm?pg=sfty_xray" TargetMode="External"/><Relationship Id="rId248" Type="http://schemas.openxmlformats.org/officeDocument/2006/relationships/hyperlink" Target="http://www.alasbimnjournal.cl/www2/alasbimn/CDA/sec_a/0,1205,SCID%253D528%2526ISID%253D14%2526PRT%253D519,00.html" TargetMode="External"/><Relationship Id="rId269" Type="http://schemas.openxmlformats.org/officeDocument/2006/relationships/hyperlink" Target="http://www.alasbimnjournal.cl/www2/alasbimn/CDA/sec_a/0,1205,SCID%253D528%2526ISID%253D14%2526PRT%253D519,00.html" TargetMode="External"/><Relationship Id="rId12" Type="http://schemas.openxmlformats.org/officeDocument/2006/relationships/hyperlink" Target="http://en.wikipedia.org/wiki/Wikipedia:Cleanup" TargetMode="External"/><Relationship Id="rId33" Type="http://schemas.openxmlformats.org/officeDocument/2006/relationships/hyperlink" Target="http://en.wikipedia.org/wiki/Weight_loss" TargetMode="External"/><Relationship Id="rId108" Type="http://schemas.openxmlformats.org/officeDocument/2006/relationships/hyperlink" Target="http://jcem.endojournals.org/cgi/content/full/92/2/583" TargetMode="External"/><Relationship Id="rId129" Type="http://schemas.openxmlformats.org/officeDocument/2006/relationships/image" Target="media/image9.gif"/><Relationship Id="rId54" Type="http://schemas.openxmlformats.org/officeDocument/2006/relationships/hyperlink" Target="http://en.wikipedia.org/wiki/Weight_loss" TargetMode="External"/><Relationship Id="rId75" Type="http://schemas.openxmlformats.org/officeDocument/2006/relationships/hyperlink" Target="http://en.wikipedia.org/wiki/Exercise" TargetMode="External"/><Relationship Id="rId96" Type="http://schemas.openxmlformats.org/officeDocument/2006/relationships/hyperlink" Target="http://jcem.endojournals.org/cgi/content/full/92/2/583" TargetMode="External"/><Relationship Id="rId140" Type="http://schemas.openxmlformats.org/officeDocument/2006/relationships/image" Target="media/image12.gif"/><Relationship Id="rId161" Type="http://schemas.openxmlformats.org/officeDocument/2006/relationships/hyperlink" Target="http://jcem.endojournals.org/cgi/content/full/92/2/583" TargetMode="External"/><Relationship Id="rId182" Type="http://schemas.openxmlformats.org/officeDocument/2006/relationships/hyperlink" Target="http://jcem.endojournals.org/cgi/external_ref?access_num=10.1016%2F0167-0115%2894%2990204-6&amp;link_type=DOI" TargetMode="External"/><Relationship Id="rId217" Type="http://schemas.openxmlformats.org/officeDocument/2006/relationships/hyperlink" Target="http://www.radiologyinfo.org/en/glossary/glossary1.cfm?gid=250" TargetMode="External"/><Relationship Id="rId6" Type="http://schemas.openxmlformats.org/officeDocument/2006/relationships/endnotes" Target="endnotes.xml"/><Relationship Id="rId238" Type="http://schemas.openxmlformats.org/officeDocument/2006/relationships/hyperlink" Target="http://www.alasbimnjournal.cl/www2/alasbimn/CDA/sec_a/0,1205,SCID%253D528%2526ISID%253D14%2526PRT%253D519,00.html" TargetMode="External"/><Relationship Id="rId259" Type="http://schemas.openxmlformats.org/officeDocument/2006/relationships/hyperlink" Target="http://www.alasbimnjournal.cl/www2/alasbimn/CDA/sec_a/0,1205,SCID%253D528%2526ISID%253D14%2526PRT%253D519,00.html" TargetMode="External"/><Relationship Id="rId23" Type="http://schemas.openxmlformats.org/officeDocument/2006/relationships/hyperlink" Target="http://en.wikipedia.org/wiki/Body_weight" TargetMode="External"/><Relationship Id="rId119" Type="http://schemas.openxmlformats.org/officeDocument/2006/relationships/hyperlink" Target="http://jcem.endojournals.org/cgi/content/full/92/2/583" TargetMode="External"/><Relationship Id="rId270" Type="http://schemas.openxmlformats.org/officeDocument/2006/relationships/hyperlink" Target="http://www.alasbimnjournal.cl/www2/alasbimn/CDA/sec_a/0,1205,SCID%253D528%2526ISID%253D14%2526PRT%253D519,00.html" TargetMode="External"/><Relationship Id="rId44" Type="http://schemas.openxmlformats.org/officeDocument/2006/relationships/hyperlink" Target="http://en.wikipedia.org/wiki/Physiological" TargetMode="External"/><Relationship Id="rId65" Type="http://schemas.openxmlformats.org/officeDocument/2006/relationships/hyperlink" Target="http://en.wikipedia.org/wiki/Energy" TargetMode="External"/><Relationship Id="rId86" Type="http://schemas.openxmlformats.org/officeDocument/2006/relationships/hyperlink" Target="http://en.wikipedia.org/wiki/Food_energy" TargetMode="External"/><Relationship Id="rId130" Type="http://schemas.openxmlformats.org/officeDocument/2006/relationships/hyperlink" Target="http://jcem.endojournals.org/cgi/content/full/92/2/583/F2" TargetMode="External"/><Relationship Id="rId151" Type="http://schemas.openxmlformats.org/officeDocument/2006/relationships/hyperlink" Target="http://jcem.endojournals.org/cgi/content/full/92/2/583" TargetMode="External"/><Relationship Id="rId172" Type="http://schemas.openxmlformats.org/officeDocument/2006/relationships/hyperlink" Target="http://jcem.endojournals.org/cgi/content/full/92/2/583" TargetMode="External"/><Relationship Id="rId193" Type="http://schemas.openxmlformats.org/officeDocument/2006/relationships/hyperlink" Target="http://www.radiologyinfo.org/en/info.cfm?pg=gennuclear" TargetMode="External"/><Relationship Id="rId202" Type="http://schemas.openxmlformats.org/officeDocument/2006/relationships/hyperlink" Target="http://www.radiologyinfo.org/en/info.cfm?pg=gennuclear" TargetMode="External"/><Relationship Id="rId207" Type="http://schemas.openxmlformats.org/officeDocument/2006/relationships/hyperlink" Target="http://www.radiologyinfo.org/en/glossary/glossary1.cfm?gid=607" TargetMode="External"/><Relationship Id="rId223" Type="http://schemas.openxmlformats.org/officeDocument/2006/relationships/hyperlink" Target="http://www.radiologyinfo.org/en/glossary/glossary1.cfm?gid=401" TargetMode="External"/><Relationship Id="rId228" Type="http://schemas.openxmlformats.org/officeDocument/2006/relationships/hyperlink" Target="http://www.radiologyinfo.org/en/info.cfm?pg=radioiodine" TargetMode="External"/><Relationship Id="rId244" Type="http://schemas.openxmlformats.org/officeDocument/2006/relationships/hyperlink" Target="http://www.alasbimnjournal.cl/www2/alasbimn/CDA/sec_a/0,1205,SCID%253D528%2526ISID%253D14%2526PRT%253D519,00.html" TargetMode="External"/><Relationship Id="rId249" Type="http://schemas.openxmlformats.org/officeDocument/2006/relationships/hyperlink" Target="http://www.alasbimnjournal.cl/www2/alasbimn/CDA/sec_a/0,1205,SCID%253D528%2526ISID%253D14%2526PRT%253D519,00.html" TargetMode="External"/><Relationship Id="rId13" Type="http://schemas.openxmlformats.org/officeDocument/2006/relationships/hyperlink" Target="http://en.wikipedia.org/wiki/Wikipedia:Manual_of_Style" TargetMode="External"/><Relationship Id="rId18" Type="http://schemas.openxmlformats.org/officeDocument/2006/relationships/image" Target="media/image4.png"/><Relationship Id="rId39" Type="http://schemas.openxmlformats.org/officeDocument/2006/relationships/hyperlink" Target="http://en.wikipedia.org/wiki/Catabolism" TargetMode="External"/><Relationship Id="rId109" Type="http://schemas.openxmlformats.org/officeDocument/2006/relationships/hyperlink" Target="http://jcem.endojournals.org/cgi/content/full/92/2/583" TargetMode="External"/><Relationship Id="rId260" Type="http://schemas.openxmlformats.org/officeDocument/2006/relationships/hyperlink" Target="http://www.alasbimnjournal.cl/www2/alasbimn/CDA/sec_a/0,1205,SCID%253D528%2526ISID%253D14%2526PRT%253D519,00.html" TargetMode="External"/><Relationship Id="rId265" Type="http://schemas.openxmlformats.org/officeDocument/2006/relationships/hyperlink" Target="http://www.alasbimnjournal.cl/www2/alasbimn/CDA/sec_a/0,1205,SCID%253D528%2526ISID%253D14%2526PRT%253D519,00.html" TargetMode="External"/><Relationship Id="rId34" Type="http://schemas.openxmlformats.org/officeDocument/2006/relationships/hyperlink" Target="http://en.wikipedia.org/wiki/Weight_loss" TargetMode="External"/><Relationship Id="rId50" Type="http://schemas.openxmlformats.org/officeDocument/2006/relationships/hyperlink" Target="http://en.wikipedia.org/wiki/Weight_loss" TargetMode="External"/><Relationship Id="rId55" Type="http://schemas.openxmlformats.org/officeDocument/2006/relationships/hyperlink" Target="http://en.wikipedia.org/w/index.php?title=Weight_loss&amp;action=edit&amp;section=2" TargetMode="External"/><Relationship Id="rId76" Type="http://schemas.openxmlformats.org/officeDocument/2006/relationships/hyperlink" Target="http://en.wikipedia.org/wiki/Weight_loss" TargetMode="External"/><Relationship Id="rId97" Type="http://schemas.openxmlformats.org/officeDocument/2006/relationships/hyperlink" Target="http://jcem.endojournals.org/cgi/content/full/92/2/583" TargetMode="External"/><Relationship Id="rId104" Type="http://schemas.openxmlformats.org/officeDocument/2006/relationships/hyperlink" Target="http://jcem.endojournals.org/cgi/content/full/92/2/583" TargetMode="External"/><Relationship Id="rId120" Type="http://schemas.openxmlformats.org/officeDocument/2006/relationships/hyperlink" Target="http://jcem.endojournals.org/cgi/content/full/92/2/583" TargetMode="External"/><Relationship Id="rId125" Type="http://schemas.openxmlformats.org/officeDocument/2006/relationships/image" Target="media/image8.gif"/><Relationship Id="rId141" Type="http://schemas.openxmlformats.org/officeDocument/2006/relationships/hyperlink" Target="http://jcem.endojournals.org/cgi/content/full/92/2/583/F4" TargetMode="External"/><Relationship Id="rId146" Type="http://schemas.openxmlformats.org/officeDocument/2006/relationships/hyperlink" Target="http://jcem.endojournals.org/cgi/content/full/92/2/583/F5" TargetMode="External"/><Relationship Id="rId167" Type="http://schemas.openxmlformats.org/officeDocument/2006/relationships/hyperlink" Target="http://jcem.endojournals.org/cgi/content/full/92/2/583" TargetMode="External"/><Relationship Id="rId188" Type="http://schemas.openxmlformats.org/officeDocument/2006/relationships/image" Target="media/image17.gif"/><Relationship Id="rId7" Type="http://schemas.openxmlformats.org/officeDocument/2006/relationships/image" Target="media/image1.gif"/><Relationship Id="rId71" Type="http://schemas.openxmlformats.org/officeDocument/2006/relationships/hyperlink" Target="http://en.wikipedia.org/wiki/Weight_loss" TargetMode="External"/><Relationship Id="rId92" Type="http://schemas.openxmlformats.org/officeDocument/2006/relationships/hyperlink" Target="http://en.wikipedia.org/wiki/Weight_loss" TargetMode="External"/><Relationship Id="rId162" Type="http://schemas.openxmlformats.org/officeDocument/2006/relationships/hyperlink" Target="http://jcem.endojournals.org/cgi/content/full/92/2/583" TargetMode="External"/><Relationship Id="rId183" Type="http://schemas.openxmlformats.org/officeDocument/2006/relationships/hyperlink" Target="http://jcem.endojournals.org/cgi/external_ref?access_num=8059011&amp;link_type=MED" TargetMode="External"/><Relationship Id="rId213" Type="http://schemas.openxmlformats.org/officeDocument/2006/relationships/hyperlink" Target="http://www.radiologyinfo.org/en/glossary/glossary1.cfm?gid=8" TargetMode="External"/><Relationship Id="rId218" Type="http://schemas.openxmlformats.org/officeDocument/2006/relationships/hyperlink" Target="http://www.radiologyinfo.org/en/glossary/glossary1.cfm?gid=367" TargetMode="External"/><Relationship Id="rId234" Type="http://schemas.openxmlformats.org/officeDocument/2006/relationships/hyperlink" Target="http://www.radiologyinfo.org/en/safety/index.cfm?pg=sfty_xray" TargetMode="External"/><Relationship Id="rId239" Type="http://schemas.openxmlformats.org/officeDocument/2006/relationships/hyperlink" Target="http://www.alasbimnjournal.cl/www2/alasbimn/CDA/sec_a/0,1205,SCID%253D528%2526ISID%253D14%2526PRT%253D519,00.html" TargetMode="External"/><Relationship Id="rId2" Type="http://schemas.openxmlformats.org/officeDocument/2006/relationships/styles" Target="styles.xml"/><Relationship Id="rId29" Type="http://schemas.openxmlformats.org/officeDocument/2006/relationships/hyperlink" Target="http://en.wikipedia.org/wiki/Weight_loss" TargetMode="External"/><Relationship Id="rId250" Type="http://schemas.openxmlformats.org/officeDocument/2006/relationships/hyperlink" Target="http://www.alasbimnjournal.cl/www2/alasbimn/CDA/sec_a/0,1205,SCID%253D528%2526ISID%253D14%2526PRT%253D519,00.html" TargetMode="External"/><Relationship Id="rId255" Type="http://schemas.openxmlformats.org/officeDocument/2006/relationships/hyperlink" Target="http://www.alasbimnjournal.cl/www2/alasbimn/CDA/sec_a/0,1205,SCID%253D528%2526ISID%253D14%2526PRT%253D519,00.html" TargetMode="External"/><Relationship Id="rId271" Type="http://schemas.openxmlformats.org/officeDocument/2006/relationships/hyperlink" Target="http://www.alasbimnjournal.cl/www2/alasbimn/CDA/sec_a/0,1205,SCID%253D528%2526ISID%253D14%2526PRT%253D519,00.html" TargetMode="External"/><Relationship Id="rId276" Type="http://schemas.openxmlformats.org/officeDocument/2006/relationships/footer" Target="footer1.xml"/><Relationship Id="rId24" Type="http://schemas.openxmlformats.org/officeDocument/2006/relationships/hyperlink" Target="http://en.wikipedia.org/wiki/Adipose_tissue" TargetMode="External"/><Relationship Id="rId40" Type="http://schemas.openxmlformats.org/officeDocument/2006/relationships/hyperlink" Target="http://en.wikipedia.org/wiki/Amino_acids" TargetMode="External"/><Relationship Id="rId45" Type="http://schemas.openxmlformats.org/officeDocument/2006/relationships/hyperlink" Target="http://en.wikipedia.org/wiki/Ketone_bodies" TargetMode="External"/><Relationship Id="rId66" Type="http://schemas.openxmlformats.org/officeDocument/2006/relationships/hyperlink" Target="http://en.wikipedia.org/wiki/Mechanical_work" TargetMode="External"/><Relationship Id="rId87" Type="http://schemas.openxmlformats.org/officeDocument/2006/relationships/hyperlink" Target="http://en.wikipedia.org/w/index.php?title=Weight_loss&amp;action=edit&amp;section=4" TargetMode="External"/><Relationship Id="rId110" Type="http://schemas.openxmlformats.org/officeDocument/2006/relationships/hyperlink" Target="http://jcem.endojournals.org/cgi/content/full/92/2/583" TargetMode="External"/><Relationship Id="rId115" Type="http://schemas.openxmlformats.org/officeDocument/2006/relationships/hyperlink" Target="http://jcem.endojournals.org/cgi/content/full/92/2/583" TargetMode="External"/><Relationship Id="rId131" Type="http://schemas.openxmlformats.org/officeDocument/2006/relationships/hyperlink" Target="http://jcem.endojournals.org/cgi/content-nw/full/92/2/583/F2" TargetMode="External"/><Relationship Id="rId136" Type="http://schemas.openxmlformats.org/officeDocument/2006/relationships/hyperlink" Target="http://jcem.endojournals.org/cgi/content/full/92/2/583/F3" TargetMode="External"/><Relationship Id="rId157" Type="http://schemas.openxmlformats.org/officeDocument/2006/relationships/hyperlink" Target="http://jcem.endojournals.org/cgi/content/full/92/2/583" TargetMode="External"/><Relationship Id="rId178" Type="http://schemas.openxmlformats.org/officeDocument/2006/relationships/hyperlink" Target="http://jcem.endojournals.org/cgi/ijlink?linkType=ABST&amp;journalCode=nejm&amp;resid=349/10/941" TargetMode="External"/><Relationship Id="rId61" Type="http://schemas.openxmlformats.org/officeDocument/2006/relationships/hyperlink" Target="http://en.wikipedia.org/wiki/Stroke" TargetMode="External"/><Relationship Id="rId82" Type="http://schemas.openxmlformats.org/officeDocument/2006/relationships/hyperlink" Target="http://en.wikipedia.org/wiki/Fat" TargetMode="External"/><Relationship Id="rId152" Type="http://schemas.openxmlformats.org/officeDocument/2006/relationships/hyperlink" Target="http://jcem.endojournals.org/cgi/content/full/92/2/583" TargetMode="External"/><Relationship Id="rId173" Type="http://schemas.openxmlformats.org/officeDocument/2006/relationships/hyperlink" Target="http://jcem.endojournals.org/cgi/content/full/92/2/583" TargetMode="External"/><Relationship Id="rId194" Type="http://schemas.openxmlformats.org/officeDocument/2006/relationships/hyperlink" Target="http://www.radiologyinfo.org/en/info.cfm?pg=gennuclear" TargetMode="External"/><Relationship Id="rId199" Type="http://schemas.openxmlformats.org/officeDocument/2006/relationships/hyperlink" Target="http://www.radiologyinfo.org/en/info.cfm?pg=gennuclear" TargetMode="External"/><Relationship Id="rId203" Type="http://schemas.openxmlformats.org/officeDocument/2006/relationships/hyperlink" Target="http://www.radiologyinfo.org/en/photocat/photos_pc.cfm?image=DSC03178b.jpg&amp;pg=gennuclear" TargetMode="External"/><Relationship Id="rId208" Type="http://schemas.openxmlformats.org/officeDocument/2006/relationships/hyperlink" Target="http://www.radiologyinfo.org/en/glossary/glossary1.cfm?gid=479" TargetMode="External"/><Relationship Id="rId229" Type="http://schemas.openxmlformats.org/officeDocument/2006/relationships/hyperlink" Target="http://www.radiologyinfo.org/en/glossary/glossary1.cfm?gid=3" TargetMode="External"/><Relationship Id="rId19" Type="http://schemas.openxmlformats.org/officeDocument/2006/relationships/hyperlink" Target="http://en.wikipedia.org/wiki/Food_guide_pyramid" TargetMode="External"/><Relationship Id="rId224" Type="http://schemas.openxmlformats.org/officeDocument/2006/relationships/hyperlink" Target="http://www.radiologyinfo.org/en/glossary/glossary1.cfm?gid=603" TargetMode="External"/><Relationship Id="rId240" Type="http://schemas.openxmlformats.org/officeDocument/2006/relationships/hyperlink" Target="http://www.alasbimnjournal.cl/www2/alasbimn/CDA/sec_a/0,1205,SCID%253D528%2526ISID%253D14%2526PRT%253D519,00.html" TargetMode="External"/><Relationship Id="rId245" Type="http://schemas.openxmlformats.org/officeDocument/2006/relationships/hyperlink" Target="http://www.alasbimnjournal.cl/www2/alasbimn/CDA/sec_a/0,1205,SCID%253D528%2526ISID%253D14%2526PRT%253D519,00.html" TargetMode="External"/><Relationship Id="rId261" Type="http://schemas.openxmlformats.org/officeDocument/2006/relationships/hyperlink" Target="http://www.alasbimnjournal.cl/www2/alasbimn/CDA/sec_a/0,1205,SCID%253D528%2526ISID%253D14%2526PRT%253D519,00.html" TargetMode="External"/><Relationship Id="rId266" Type="http://schemas.openxmlformats.org/officeDocument/2006/relationships/hyperlink" Target="http://www.alasbimnjournal.cl/www2/alasbimn/CDA/sec_a/0,1205,SCID%253D528%2526ISID%253D14%2526PRT%253D519,00.html" TargetMode="External"/><Relationship Id="rId14" Type="http://schemas.openxmlformats.org/officeDocument/2006/relationships/hyperlink" Target="http://en.wikipedia.org/w/index.php?title=Weight_loss&amp;action=edit" TargetMode="External"/><Relationship Id="rId30" Type="http://schemas.openxmlformats.org/officeDocument/2006/relationships/hyperlink" Target="http://en.wikipedia.org/wiki/Weight_loss" TargetMode="External"/><Relationship Id="rId35" Type="http://schemas.openxmlformats.org/officeDocument/2006/relationships/hyperlink" Target="http://en.wikipedia.org/wiki/Weight_loss" TargetMode="External"/><Relationship Id="rId56" Type="http://schemas.openxmlformats.org/officeDocument/2006/relationships/hyperlink" Target="http://en.wikipedia.org/wiki/Overweight" TargetMode="External"/><Relationship Id="rId77" Type="http://schemas.openxmlformats.org/officeDocument/2006/relationships/hyperlink" Target="http://en.wikipedia.org/wiki/Calorie" TargetMode="External"/><Relationship Id="rId100" Type="http://schemas.openxmlformats.org/officeDocument/2006/relationships/hyperlink" Target="http://jcem.endojournals.org/cgi/content/full/92/2/583" TargetMode="External"/><Relationship Id="rId105" Type="http://schemas.openxmlformats.org/officeDocument/2006/relationships/hyperlink" Target="http://jcem.endojournals.org/cgi/content/full/92/2/583" TargetMode="External"/><Relationship Id="rId126" Type="http://schemas.openxmlformats.org/officeDocument/2006/relationships/hyperlink" Target="http://jcem.endojournals.org/cgi/content/full/92/2/583/F1" TargetMode="External"/><Relationship Id="rId147" Type="http://schemas.openxmlformats.org/officeDocument/2006/relationships/hyperlink" Target="http://jcem.endojournals.org/cgi/content-nw/full/92/2/583/F5" TargetMode="External"/><Relationship Id="rId168" Type="http://schemas.openxmlformats.org/officeDocument/2006/relationships/hyperlink" Target="http://jcem.endojournals.org/cgi/content/full/92/2/583" TargetMode="External"/><Relationship Id="rId8" Type="http://schemas.openxmlformats.org/officeDocument/2006/relationships/hyperlink" Target="http://en.wikipedia.org/wiki/Weight_loss" TargetMode="External"/><Relationship Id="rId51" Type="http://schemas.openxmlformats.org/officeDocument/2006/relationships/hyperlink" Target="http://en.wikipedia.org/wiki/Hyperthyroidism" TargetMode="External"/><Relationship Id="rId72" Type="http://schemas.openxmlformats.org/officeDocument/2006/relationships/hyperlink" Target="http://en.wikipedia.org/w/index.php?title=Weight_loss&amp;action=edit&amp;section=3" TargetMode="External"/><Relationship Id="rId93" Type="http://schemas.openxmlformats.org/officeDocument/2006/relationships/hyperlink" Target="mailto:tschoemh@ucmail.uc.edu" TargetMode="External"/><Relationship Id="rId98" Type="http://schemas.openxmlformats.org/officeDocument/2006/relationships/hyperlink" Target="http://jcem.endojournals.org/cgi/content/full/92/2/583" TargetMode="External"/><Relationship Id="rId121" Type="http://schemas.openxmlformats.org/officeDocument/2006/relationships/hyperlink" Target="http://jcem.endojournals.org/cgi/content/full/92/2/583#F1" TargetMode="External"/><Relationship Id="rId142" Type="http://schemas.openxmlformats.org/officeDocument/2006/relationships/hyperlink" Target="http://jcem.endojournals.org/cgi/content-nw/full/92/2/583/F4" TargetMode="External"/><Relationship Id="rId163" Type="http://schemas.openxmlformats.org/officeDocument/2006/relationships/hyperlink" Target="http://jcem.endojournals.org/cgi/content/full/92/2/583" TargetMode="External"/><Relationship Id="rId184" Type="http://schemas.openxmlformats.org/officeDocument/2006/relationships/hyperlink" Target="http://jcem.endojournals.org/cgi/external_ref?access_num=10.1016%2F0196-9781%2894%2990035-3&amp;link_type=DOI" TargetMode="External"/><Relationship Id="rId189" Type="http://schemas.openxmlformats.org/officeDocument/2006/relationships/image" Target="media/image18.gif"/><Relationship Id="rId219" Type="http://schemas.openxmlformats.org/officeDocument/2006/relationships/hyperlink" Target="http://www.radiologyinfo.org/en/glossary/glossary1.cfm?gid=665" TargetMode="External"/><Relationship Id="rId3" Type="http://schemas.openxmlformats.org/officeDocument/2006/relationships/settings" Target="settings.xml"/><Relationship Id="rId214" Type="http://schemas.openxmlformats.org/officeDocument/2006/relationships/hyperlink" Target="http://www.radiologyinfo.org/en/glossary/glossary1.cfm?gid=641" TargetMode="External"/><Relationship Id="rId230" Type="http://schemas.openxmlformats.org/officeDocument/2006/relationships/hyperlink" Target="http://www.radiologyinfo.org/en/glossary/glossary1.cfm?gid=127" TargetMode="External"/><Relationship Id="rId235" Type="http://schemas.openxmlformats.org/officeDocument/2006/relationships/hyperlink" Target="http://www.alasbimnjournal.cl/www2/alasbimn/CDA/sec_a/0,1205,SCID%253D528%2526ISID%253D14%2526PRT%253D519,00.html" TargetMode="External"/><Relationship Id="rId251" Type="http://schemas.openxmlformats.org/officeDocument/2006/relationships/hyperlink" Target="http://www.alasbimnjournal.cl/www2/alasbimn/CDA/sec_a/0,1205,SCID%253D528%2526ISID%253D14%2526PRT%253D519,00.html" TargetMode="External"/><Relationship Id="rId256" Type="http://schemas.openxmlformats.org/officeDocument/2006/relationships/hyperlink" Target="http://www.alasbimnjournal.cl/www2/alasbimn/CDA/sec_a/0,1205,SCID%253D528%2526ISID%253D14%2526PRT%253D519,00.html" TargetMode="External"/><Relationship Id="rId277" Type="http://schemas.openxmlformats.org/officeDocument/2006/relationships/fontTable" Target="fontTable.xml"/><Relationship Id="rId25" Type="http://schemas.openxmlformats.org/officeDocument/2006/relationships/hyperlink" Target="http://en.wikipedia.org/wiki/Overweight" TargetMode="External"/><Relationship Id="rId46" Type="http://schemas.openxmlformats.org/officeDocument/2006/relationships/hyperlink" Target="http://en.wikipedia.org/wiki/Acidosis" TargetMode="External"/><Relationship Id="rId67" Type="http://schemas.openxmlformats.org/officeDocument/2006/relationships/hyperlink" Target="http://en.wikipedia.org/wiki/Heat" TargetMode="External"/><Relationship Id="rId116" Type="http://schemas.openxmlformats.org/officeDocument/2006/relationships/hyperlink" Target="http://jcem.endojournals.org/cgi/content/full/92/2/583" TargetMode="External"/><Relationship Id="rId137" Type="http://schemas.openxmlformats.org/officeDocument/2006/relationships/hyperlink" Target="http://jcem.endojournals.org/cgi/content-nw/full/92/2/583/F3" TargetMode="External"/><Relationship Id="rId158" Type="http://schemas.openxmlformats.org/officeDocument/2006/relationships/hyperlink" Target="http://jcem.endojournals.org/cgi/content/full/92/2/583" TargetMode="External"/><Relationship Id="rId272" Type="http://schemas.openxmlformats.org/officeDocument/2006/relationships/hyperlink" Target="http://www.alasbimnjournal.cl/www2/alasbimn/CDA/sec_a/0,1205,SCID%253D528%2526ISID%253D14%2526PRT%253D519,00.html" TargetMode="External"/><Relationship Id="rId20" Type="http://schemas.openxmlformats.org/officeDocument/2006/relationships/hyperlink" Target="http://en.wikipedia.org/wiki/Medicine" TargetMode="External"/><Relationship Id="rId41" Type="http://schemas.openxmlformats.org/officeDocument/2006/relationships/hyperlink" Target="http://en.wikipedia.org/wiki/Nutrition" TargetMode="External"/><Relationship Id="rId62" Type="http://schemas.openxmlformats.org/officeDocument/2006/relationships/hyperlink" Target="http://en.wikipedia.org/wiki/Osteoarthritis" TargetMode="External"/><Relationship Id="rId83" Type="http://schemas.openxmlformats.org/officeDocument/2006/relationships/hyperlink" Target="http://en.wikipedia.org/wiki/Fucus_vesiculosus" TargetMode="External"/><Relationship Id="rId88" Type="http://schemas.openxmlformats.org/officeDocument/2006/relationships/hyperlink" Target="http://en.wikipedia.org/wiki/Crash_diet" TargetMode="External"/><Relationship Id="rId111" Type="http://schemas.openxmlformats.org/officeDocument/2006/relationships/hyperlink" Target="http://jcem.endojournals.org/cgi/content/full/92/2/583" TargetMode="External"/><Relationship Id="rId132" Type="http://schemas.openxmlformats.org/officeDocument/2006/relationships/image" Target="media/image10.gif"/><Relationship Id="rId153" Type="http://schemas.openxmlformats.org/officeDocument/2006/relationships/hyperlink" Target="http://jcem.endojournals.org/cgi/content/full/92/2/583" TargetMode="External"/><Relationship Id="rId174" Type="http://schemas.openxmlformats.org/officeDocument/2006/relationships/hyperlink" Target="http://jcem.endojournals.org/cgi/content/full/92/2/583#RFN1" TargetMode="External"/><Relationship Id="rId179" Type="http://schemas.openxmlformats.org/officeDocument/2006/relationships/hyperlink" Target="http://jcem.endojournals.org/cgi/external_ref?access_num=10.1038%2Fnature00887&amp;link_type=DOI" TargetMode="External"/><Relationship Id="rId195" Type="http://schemas.openxmlformats.org/officeDocument/2006/relationships/hyperlink" Target="http://www.radiologyinfo.org/en/info.cfm?pg=gennuclear" TargetMode="External"/><Relationship Id="rId209" Type="http://schemas.openxmlformats.org/officeDocument/2006/relationships/hyperlink" Target="http://www.radiologyinfo.org/en/glossary/glossary1.cfm?gid=124" TargetMode="External"/><Relationship Id="rId190" Type="http://schemas.openxmlformats.org/officeDocument/2006/relationships/image" Target="media/image19.gif"/><Relationship Id="rId204" Type="http://schemas.openxmlformats.org/officeDocument/2006/relationships/image" Target="media/image22.jpeg"/><Relationship Id="rId220" Type="http://schemas.openxmlformats.org/officeDocument/2006/relationships/hyperlink" Target="http://www.radiologyinfo.org/en/glossary/glossary1.cfm?gid=640" TargetMode="External"/><Relationship Id="rId225" Type="http://schemas.openxmlformats.org/officeDocument/2006/relationships/hyperlink" Target="http://www.radiologyinfo.org/en/glossary/glossary1.cfm?gid=471" TargetMode="External"/><Relationship Id="rId241" Type="http://schemas.openxmlformats.org/officeDocument/2006/relationships/hyperlink" Target="http://www.alasbimnjournal.cl/www2/alasbimn/CDA/sec_a/0,1205,SCID%253D528%2526ISID%253D14%2526PRT%253D519,00.html" TargetMode="External"/><Relationship Id="rId246" Type="http://schemas.openxmlformats.org/officeDocument/2006/relationships/hyperlink" Target="http://www.alasbimnjournal.cl/www2/alasbimn/CDA/sec_a/0,1205,SCID%253D528%2526ISID%253D14%2526PRT%253D519,00.html" TargetMode="External"/><Relationship Id="rId267" Type="http://schemas.openxmlformats.org/officeDocument/2006/relationships/hyperlink" Target="http://www.alasbimnjournal.cl/www2/alasbimn/CDA/sec_a/0,1205,SCID%253D528%2526ISID%253D14%2526PRT%253D519,00.html" TargetMode="External"/><Relationship Id="rId15" Type="http://schemas.openxmlformats.org/officeDocument/2006/relationships/hyperlink" Target="http://en.wikipedia.org/wiki/Weight_Loss_(The_Office)" TargetMode="External"/><Relationship Id="rId36" Type="http://schemas.openxmlformats.org/officeDocument/2006/relationships/hyperlink" Target="http://en.wikipedia.org/w/index.php?title=Weight_loss&amp;action=edit&amp;section=1" TargetMode="External"/><Relationship Id="rId57" Type="http://schemas.openxmlformats.org/officeDocument/2006/relationships/hyperlink" Target="http://en.wikipedia.org/wiki/Obese" TargetMode="External"/><Relationship Id="rId106" Type="http://schemas.openxmlformats.org/officeDocument/2006/relationships/hyperlink" Target="http://jcem.endojournals.org/cgi/content/full/92/2/583" TargetMode="External"/><Relationship Id="rId127" Type="http://schemas.openxmlformats.org/officeDocument/2006/relationships/hyperlink" Target="http://jcem.endojournals.org/cgi/content-nw/full/92/2/583/F1" TargetMode="External"/><Relationship Id="rId262" Type="http://schemas.openxmlformats.org/officeDocument/2006/relationships/hyperlink" Target="http://www.alasbimnjournal.cl/www2/alasbimn/CDA/sec_a/0,1205,SCID%253D528%2526ISID%253D14%2526PRT%253D519,00.html" TargetMode="External"/><Relationship Id="rId10" Type="http://schemas.openxmlformats.org/officeDocument/2006/relationships/hyperlink" Target="http://en.wikipedia.org/wiki/File:Ambox_style.png" TargetMode="External"/><Relationship Id="rId31" Type="http://schemas.openxmlformats.org/officeDocument/2006/relationships/hyperlink" Target="http://en.wikipedia.org/wiki/Weight_loss" TargetMode="External"/><Relationship Id="rId52" Type="http://schemas.openxmlformats.org/officeDocument/2006/relationships/hyperlink" Target="http://en.wikipedia.org/wiki/Weight_loss" TargetMode="External"/><Relationship Id="rId73" Type="http://schemas.openxmlformats.org/officeDocument/2006/relationships/hyperlink" Target="http://en.wikipedia.org/wiki/Obesity" TargetMode="External"/><Relationship Id="rId78" Type="http://schemas.openxmlformats.org/officeDocument/2006/relationships/hyperlink" Target="http://en.wikipedia.org/wiki/Weight_loss" TargetMode="External"/><Relationship Id="rId94" Type="http://schemas.openxmlformats.org/officeDocument/2006/relationships/image" Target="media/image5.gif"/><Relationship Id="rId99" Type="http://schemas.openxmlformats.org/officeDocument/2006/relationships/hyperlink" Target="http://jcem.endojournals.org/cgi/content/full/92/2/583" TargetMode="External"/><Relationship Id="rId101" Type="http://schemas.openxmlformats.org/officeDocument/2006/relationships/hyperlink" Target="http://jcem.endojournals.org/cgi/content/full/92/2/583" TargetMode="External"/><Relationship Id="rId122" Type="http://schemas.openxmlformats.org/officeDocument/2006/relationships/image" Target="media/image7.gif"/><Relationship Id="rId143" Type="http://schemas.openxmlformats.org/officeDocument/2006/relationships/hyperlink" Target="http://jcem.endojournals.org/cgi/content/full/92/2/583#F5" TargetMode="External"/><Relationship Id="rId148" Type="http://schemas.openxmlformats.org/officeDocument/2006/relationships/hyperlink" Target="http://jcem.endojournals.org/cgi/content/full/92/2/583" TargetMode="External"/><Relationship Id="rId164" Type="http://schemas.openxmlformats.org/officeDocument/2006/relationships/hyperlink" Target="http://jcem.endojournals.org/cgi/content/full/92/2/583" TargetMode="External"/><Relationship Id="rId169" Type="http://schemas.openxmlformats.org/officeDocument/2006/relationships/hyperlink" Target="http://jcem.endojournals.org/cgi/content/full/92/2/583" TargetMode="External"/><Relationship Id="rId185" Type="http://schemas.openxmlformats.org/officeDocument/2006/relationships/hyperlink" Target="http://jcem.endojournals.org/cgi/external_ref?access_num=7984499&amp;link_type=MED" TargetMode="External"/><Relationship Id="rId4" Type="http://schemas.openxmlformats.org/officeDocument/2006/relationships/webSettings" Target="webSettings.xml"/><Relationship Id="rId9" Type="http://schemas.openxmlformats.org/officeDocument/2006/relationships/hyperlink" Target="http://en.wikipedia.org/wiki/Weight_loss" TargetMode="External"/><Relationship Id="rId180" Type="http://schemas.openxmlformats.org/officeDocument/2006/relationships/hyperlink" Target="http://jcem.endojournals.org/cgi/external_ref?access_num=12167864&amp;link_type=MED" TargetMode="External"/><Relationship Id="rId210" Type="http://schemas.openxmlformats.org/officeDocument/2006/relationships/hyperlink" Target="http://www.radiologyinfo.org/en/glossary/glossary1.cfm?gid=361" TargetMode="External"/><Relationship Id="rId215" Type="http://schemas.openxmlformats.org/officeDocument/2006/relationships/hyperlink" Target="http://www.radiologyinfo.org/en/glossary/glossary1.cfm?gid=605" TargetMode="External"/><Relationship Id="rId236" Type="http://schemas.openxmlformats.org/officeDocument/2006/relationships/hyperlink" Target="http://www.alasbimnjournal.cl/www2/alasbimn/CDA/sec_a/0,1205,SCID%253D528%2526ISID%253D14%2526PRT%253D519,00.html" TargetMode="External"/><Relationship Id="rId257" Type="http://schemas.openxmlformats.org/officeDocument/2006/relationships/hyperlink" Target="http://www.alasbimnjournal.cl/www2/alasbimn/CDA/sec_a/0,1205,SCID%253D528%2526ISID%253D14%2526PRT%253D519,00.html" TargetMode="External"/><Relationship Id="rId278" Type="http://schemas.openxmlformats.org/officeDocument/2006/relationships/theme" Target="theme/theme1.xml"/><Relationship Id="rId26" Type="http://schemas.openxmlformats.org/officeDocument/2006/relationships/hyperlink" Target="http://en.wikipedia.org/wiki/Obese" TargetMode="External"/><Relationship Id="rId231" Type="http://schemas.openxmlformats.org/officeDocument/2006/relationships/hyperlink" Target="http://www.radiologyinfo.org/en/glossary/glossary1.cfm?gid=328" TargetMode="External"/><Relationship Id="rId252" Type="http://schemas.openxmlformats.org/officeDocument/2006/relationships/image" Target="media/image25.jpeg"/><Relationship Id="rId273" Type="http://schemas.openxmlformats.org/officeDocument/2006/relationships/hyperlink" Target="javascript:history.back()" TargetMode="External"/><Relationship Id="rId47" Type="http://schemas.openxmlformats.org/officeDocument/2006/relationships/hyperlink" Target="http://en.wikipedia.org/wiki/Ketosis" TargetMode="External"/><Relationship Id="rId68" Type="http://schemas.openxmlformats.org/officeDocument/2006/relationships/hyperlink" Target="http://en.wikipedia.org/wiki/Weight_loss" TargetMode="External"/><Relationship Id="rId89" Type="http://schemas.openxmlformats.org/officeDocument/2006/relationships/hyperlink" Target="http://en.wikipedia.org/wiki/Intermittent_fasting" TargetMode="External"/><Relationship Id="rId112" Type="http://schemas.openxmlformats.org/officeDocument/2006/relationships/hyperlink" Target="http://jcem.endojournals.org/cgi/content/full/92/2/583" TargetMode="External"/><Relationship Id="rId133" Type="http://schemas.openxmlformats.org/officeDocument/2006/relationships/hyperlink" Target="http://jcem.endojournals.org/cgi/content/full/92/2/583#F3" TargetMode="External"/><Relationship Id="rId154" Type="http://schemas.openxmlformats.org/officeDocument/2006/relationships/hyperlink" Target="http://jcem.endojournals.org/cgi/content/full/92/2/583" TargetMode="External"/><Relationship Id="rId175" Type="http://schemas.openxmlformats.org/officeDocument/2006/relationships/image" Target="media/image14.gif"/><Relationship Id="rId196" Type="http://schemas.openxmlformats.org/officeDocument/2006/relationships/hyperlink" Target="http://www.radiologyinfo.org/en/info.cfm?pg=gennuclear" TargetMode="External"/><Relationship Id="rId200" Type="http://schemas.openxmlformats.org/officeDocument/2006/relationships/hyperlink" Target="http://www.radiologyinfo.org/en/info.cfm?pg=gennuclear" TargetMode="External"/><Relationship Id="rId16" Type="http://schemas.openxmlformats.org/officeDocument/2006/relationships/hyperlink" Target="http://en.wikipedia.org/wiki/File:Weightloss_pyramid.JPG" TargetMode="External"/><Relationship Id="rId221" Type="http://schemas.openxmlformats.org/officeDocument/2006/relationships/hyperlink" Target="http://www.radiologyinfo.org/en/glossary/glossary1.cfm?gid=429" TargetMode="External"/><Relationship Id="rId242" Type="http://schemas.openxmlformats.org/officeDocument/2006/relationships/image" Target="media/image23.jpeg"/><Relationship Id="rId263" Type="http://schemas.openxmlformats.org/officeDocument/2006/relationships/hyperlink" Target="http://www.alasbimnjournal.cl/www2/alasbimn/CDA/sec_a/0,1205,SCID%253D528%2526ISID%253D14%2526PRT%253D519,00.html" TargetMode="External"/><Relationship Id="rId37" Type="http://schemas.openxmlformats.org/officeDocument/2006/relationships/hyperlink" Target="http://en.wikipedia.org/wiki/Insulin-dependent_diabetes_mellitus" TargetMode="External"/><Relationship Id="rId58" Type="http://schemas.openxmlformats.org/officeDocument/2006/relationships/hyperlink" Target="http://en.wikipedia.org/wiki/Diabetes" TargetMode="External"/><Relationship Id="rId79" Type="http://schemas.openxmlformats.org/officeDocument/2006/relationships/hyperlink" Target="http://en.wikipedia.org/wiki/Medication" TargetMode="External"/><Relationship Id="rId102" Type="http://schemas.openxmlformats.org/officeDocument/2006/relationships/hyperlink" Target="http://jcem.endojournals.org/cgi/content/full/92/2/583" TargetMode="External"/><Relationship Id="rId123" Type="http://schemas.openxmlformats.org/officeDocument/2006/relationships/hyperlink" Target="http://jcem.endojournals.org/cgi/content/full/92/2/583#F2" TargetMode="External"/><Relationship Id="rId144" Type="http://schemas.openxmlformats.org/officeDocument/2006/relationships/hyperlink" Target="http://jcem.endojournals.org/cgi/content/full/92/2/583/F5" TargetMode="External"/><Relationship Id="rId90" Type="http://schemas.openxmlformats.org/officeDocument/2006/relationships/hyperlink" Target="http://en.wikipedia.org/w/index.php?title=Weight_loss&amp;action=edit&amp;section=5" TargetMode="External"/><Relationship Id="rId165" Type="http://schemas.openxmlformats.org/officeDocument/2006/relationships/hyperlink" Target="http://jcem.endojournals.org/cgi/content/full/92/2/583" TargetMode="External"/><Relationship Id="rId186" Type="http://schemas.openxmlformats.org/officeDocument/2006/relationships/image" Target="media/image15.gif"/><Relationship Id="rId211" Type="http://schemas.openxmlformats.org/officeDocument/2006/relationships/hyperlink" Target="http://www.radiologyinfo.org/en/glossary/glossary1.cfm?gid=210" TargetMode="External"/><Relationship Id="rId232" Type="http://schemas.openxmlformats.org/officeDocument/2006/relationships/hyperlink" Target="http://www.radiologyinfo.org/en/glossary/glossary1.cfm?gid=65" TargetMode="External"/><Relationship Id="rId253" Type="http://schemas.openxmlformats.org/officeDocument/2006/relationships/hyperlink" Target="http://www.alasbimnjournal.cl/www2/alasbimn/CDA/sec_a/0,1205,SCID%253D528%2526ISID%253D14%2526PRT%253D519,00.html" TargetMode="External"/><Relationship Id="rId274" Type="http://schemas.openxmlformats.org/officeDocument/2006/relationships/hyperlink" Target="javascript:history.back()" TargetMode="External"/><Relationship Id="rId27" Type="http://schemas.openxmlformats.org/officeDocument/2006/relationships/hyperlink" Target="javascript:toggleToc()" TargetMode="External"/><Relationship Id="rId48" Type="http://schemas.openxmlformats.org/officeDocument/2006/relationships/hyperlink" Target="http://en.wikipedia.org/wiki/Cachexia" TargetMode="External"/><Relationship Id="rId69" Type="http://schemas.openxmlformats.org/officeDocument/2006/relationships/hyperlink" Target="http://en.wikipedia.org/wiki/Weight_loss" TargetMode="External"/><Relationship Id="rId113" Type="http://schemas.openxmlformats.org/officeDocument/2006/relationships/hyperlink" Target="http://jcem.endojournals.org/cgi/content/full/92/2/583" TargetMode="External"/><Relationship Id="rId134" Type="http://schemas.openxmlformats.org/officeDocument/2006/relationships/hyperlink" Target="http://jcem.endojournals.org/cgi/content/full/92/2/583/F3" TargetMode="External"/><Relationship Id="rId80" Type="http://schemas.openxmlformats.org/officeDocument/2006/relationships/hyperlink" Target="http://en.wikipedia.org/wiki/Dietary_supplement" TargetMode="External"/><Relationship Id="rId155" Type="http://schemas.openxmlformats.org/officeDocument/2006/relationships/hyperlink" Target="http://jcem.endojournals.org/cgi/content/full/92/2/583" TargetMode="External"/><Relationship Id="rId176" Type="http://schemas.openxmlformats.org/officeDocument/2006/relationships/hyperlink" Target="http://jcem.endojournals.org/cgi/external_ref?access_num=10.1196%2Fannals.1286.016&amp;link_type=DOI" TargetMode="External"/><Relationship Id="rId197" Type="http://schemas.openxmlformats.org/officeDocument/2006/relationships/hyperlink" Target="http://www.radiologyinfo.org/en/info.cfm?pg=gennuclear" TargetMode="External"/><Relationship Id="rId201" Type="http://schemas.openxmlformats.org/officeDocument/2006/relationships/hyperlink" Target="http://www.radiologyinfo.org/en/info.cfm?pg=gennuclear" TargetMode="External"/><Relationship Id="rId222" Type="http://schemas.openxmlformats.org/officeDocument/2006/relationships/hyperlink" Target="http://www.radiologyinfo.org/en/glossary/glossary1.cfm?gid=528" TargetMode="External"/><Relationship Id="rId243" Type="http://schemas.openxmlformats.org/officeDocument/2006/relationships/hyperlink" Target="http://www.alasbimnjournal.cl/www2/alasbimn/CDA/sec_a/0,1205,SCID%253D528%2526ISID%253D14%2526PRT%253D519,00.html" TargetMode="External"/><Relationship Id="rId264" Type="http://schemas.openxmlformats.org/officeDocument/2006/relationships/hyperlink" Target="http://www.alasbimnjournal.cl/www2/alasbimn/CDA/sec_a/0,1205,SCID%253D528%2526ISID%253D14%2526PRT%253D519,00.html" TargetMode="External"/><Relationship Id="rId17" Type="http://schemas.openxmlformats.org/officeDocument/2006/relationships/image" Target="media/image3.jpeg"/><Relationship Id="rId38" Type="http://schemas.openxmlformats.org/officeDocument/2006/relationships/hyperlink" Target="http://en.wikipedia.org/wiki/Triglycerides" TargetMode="External"/><Relationship Id="rId59" Type="http://schemas.openxmlformats.org/officeDocument/2006/relationships/hyperlink" Target="http://en.wikipedia.org/wiki/Weight_loss" TargetMode="External"/><Relationship Id="rId103" Type="http://schemas.openxmlformats.org/officeDocument/2006/relationships/hyperlink" Target="http://jcem.endojournals.org/cgi/content/full/92/2/583" TargetMode="External"/><Relationship Id="rId124" Type="http://schemas.openxmlformats.org/officeDocument/2006/relationships/hyperlink" Target="http://jcem.endojournals.org/cgi/content/full/92/2/583/F1" TargetMode="External"/><Relationship Id="rId70" Type="http://schemas.openxmlformats.org/officeDocument/2006/relationships/hyperlink" Target="http://en.wikipedia.org/wiki/Underweight" TargetMode="External"/><Relationship Id="rId91" Type="http://schemas.openxmlformats.org/officeDocument/2006/relationships/hyperlink" Target="http://en.wikipedia.org/wiki/Weight_loss" TargetMode="External"/><Relationship Id="rId145" Type="http://schemas.openxmlformats.org/officeDocument/2006/relationships/image" Target="media/image13.gif"/><Relationship Id="rId166" Type="http://schemas.openxmlformats.org/officeDocument/2006/relationships/hyperlink" Target="http://jcem.endojournals.org/cgi/content/full/92/2/583" TargetMode="External"/><Relationship Id="rId187" Type="http://schemas.openxmlformats.org/officeDocument/2006/relationships/image" Target="media/image16.gif"/><Relationship Id="rId1" Type="http://schemas.openxmlformats.org/officeDocument/2006/relationships/numbering" Target="numbering.xml"/><Relationship Id="rId212" Type="http://schemas.openxmlformats.org/officeDocument/2006/relationships/hyperlink" Target="http://www.radiologyinfo.org/en/glossary/glossary1.cfm?gid=22" TargetMode="External"/><Relationship Id="rId233" Type="http://schemas.openxmlformats.org/officeDocument/2006/relationships/hyperlink" Target="http://www.radiologyinfo.org/en/info.cfm?pg=radioiodine" TargetMode="External"/><Relationship Id="rId254" Type="http://schemas.openxmlformats.org/officeDocument/2006/relationships/hyperlink" Target="http://www.alasbimnjournal.cl/www2/alasbimn/CDA/sec_a/0,1205,SCID%253D528%2526ISID%253D14%2526PRT%253D519,00.html" TargetMode="External"/><Relationship Id="rId28" Type="http://schemas.openxmlformats.org/officeDocument/2006/relationships/hyperlink" Target="http://en.wikipedia.org/wiki/Weight_loss" TargetMode="External"/><Relationship Id="rId49" Type="http://schemas.openxmlformats.org/officeDocument/2006/relationships/hyperlink" Target="http://en.wikipedia.org/wiki/HIV" TargetMode="External"/><Relationship Id="rId114" Type="http://schemas.openxmlformats.org/officeDocument/2006/relationships/hyperlink" Target="http://jcem.endojournals.org/cgi/content/full/92/2/583" TargetMode="External"/><Relationship Id="rId275" Type="http://schemas.openxmlformats.org/officeDocument/2006/relationships/hyperlink" Target="javascript:history.back()" TargetMode="External"/><Relationship Id="rId60" Type="http://schemas.openxmlformats.org/officeDocument/2006/relationships/hyperlink" Target="http://en.wikipedia.org/wiki/Heart_disease" TargetMode="External"/><Relationship Id="rId81" Type="http://schemas.openxmlformats.org/officeDocument/2006/relationships/hyperlink" Target="http://en.wikipedia.org/wiki/Appetite" TargetMode="External"/><Relationship Id="rId135" Type="http://schemas.openxmlformats.org/officeDocument/2006/relationships/image" Target="media/image11.gif"/><Relationship Id="rId156" Type="http://schemas.openxmlformats.org/officeDocument/2006/relationships/hyperlink" Target="http://jcem.endojournals.org/cgi/content/full/92/2/583" TargetMode="External"/><Relationship Id="rId177" Type="http://schemas.openxmlformats.org/officeDocument/2006/relationships/hyperlink" Target="http://jcem.endojournals.org/cgi/external_ref?access_num=12851312&amp;link_type=MED" TargetMode="External"/><Relationship Id="rId198" Type="http://schemas.openxmlformats.org/officeDocument/2006/relationships/hyperlink" Target="http://www.radiologyinfo.org/en/info.cfm?pg=gennucl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15578</Words>
  <Characters>88796</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NGI</Company>
  <LinksUpToDate>false</LinksUpToDate>
  <CharactersWithSpaces>104166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M.H.Rana</dc:creator>
  <cp:keywords/>
  <dc:description/>
  <cp:lastModifiedBy>M.H.Rana</cp:lastModifiedBy>
  <cp:revision>3</cp:revision>
  <cp:lastPrinted>2009-03-01T14:05:00Z</cp:lastPrinted>
  <dcterms:created xsi:type="dcterms:W3CDTF">2009-03-12T09:05:00Z</dcterms:created>
  <dcterms:modified xsi:type="dcterms:W3CDTF">2009-03-12T09:05:00Z</dcterms:modified>
</cp:coreProperties>
</file>